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0"/>
          <w:szCs w:val="20"/>
        </w:rPr>
      </w:pPr>
    </w:p>
    <w:p>
      <w:pPr>
        <w:spacing w:line="240" w:lineRule="exact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3520" w:right="2500" w:firstLine="12"/>
        <w:jc w:val="left"/>
        <w:textAlignment w:val="auto"/>
        <w:outlineLvl w:val="9"/>
      </w:pP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1599565</wp:posOffset>
            </wp:positionH>
            <wp:positionV relativeFrom="paragraph">
              <wp:posOffset>-113030</wp:posOffset>
            </wp:positionV>
            <wp:extent cx="1107440" cy="1405255"/>
            <wp:effectExtent l="0" t="0" r="1651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spacing w:val="0"/>
          <w:w w:val="100"/>
        </w:rPr>
        <w:t>邮箱：</w:t>
      </w:r>
      <w:r>
        <w:fldChar w:fldCharType="begin"/>
      </w:r>
      <w:r>
        <w:instrText xml:space="preserve">HYPERLINK "mailto:zhaoshurong2001@163.com" </w:instrText>
      </w:r>
      <w:r>
        <w:fldChar w:fldCharType="separate"/>
      </w:r>
      <w:r>
        <w:rPr>
          <w:rFonts w:hint="eastAsia" w:ascii="Arial" w:hAnsi="Arial" w:cs="Arial"/>
          <w:b w:val="0"/>
          <w:bCs w:val="0"/>
          <w:color w:val="0000FF"/>
          <w:spacing w:val="-2"/>
          <w:w w:val="100"/>
          <w:u w:val="single" w:color="0000FF"/>
          <w:lang w:val="en-US" w:eastAsia="zh-CN"/>
        </w:rPr>
        <w:t>shurz2015</w:t>
      </w:r>
      <w:r>
        <w:rPr>
          <w:rFonts w:ascii="Arial" w:hAnsi="Arial" w:eastAsia="Arial" w:cs="Arial"/>
          <w:b w:val="0"/>
          <w:bCs w:val="0"/>
          <w:color w:val="0000FF"/>
          <w:spacing w:val="-1"/>
          <w:w w:val="100"/>
          <w:u w:val="single" w:color="0000FF"/>
        </w:rPr>
        <w:t>@</w:t>
      </w:r>
      <w:r>
        <w:rPr>
          <w:rFonts w:ascii="Arial" w:hAnsi="Arial" w:eastAsia="Arial" w:cs="Arial"/>
          <w:b w:val="0"/>
          <w:bCs w:val="0"/>
          <w:color w:val="0000FF"/>
          <w:spacing w:val="-2"/>
          <w:w w:val="100"/>
          <w:u w:val="single" w:color="0000FF"/>
        </w:rPr>
        <w:t>1</w:t>
      </w:r>
      <w:r>
        <w:rPr>
          <w:rFonts w:ascii="Arial" w:hAnsi="Arial" w:eastAsia="Arial" w:cs="Arial"/>
          <w:b w:val="0"/>
          <w:bCs w:val="0"/>
          <w:color w:val="0000FF"/>
          <w:spacing w:val="0"/>
          <w:w w:val="100"/>
          <w:u w:val="single" w:color="0000FF"/>
        </w:rPr>
        <w:t>63.</w:t>
      </w:r>
      <w:r>
        <w:rPr>
          <w:rFonts w:ascii="Arial" w:hAnsi="Arial" w:eastAsia="Arial" w:cs="Arial"/>
          <w:b w:val="0"/>
          <w:bCs w:val="0"/>
          <w:color w:val="0000FF"/>
          <w:spacing w:val="-2"/>
          <w:w w:val="100"/>
          <w:u w:val="single" w:color="0000FF"/>
        </w:rPr>
        <w:t>c</w:t>
      </w:r>
      <w:r>
        <w:rPr>
          <w:rFonts w:ascii="Arial" w:hAnsi="Arial" w:eastAsia="Arial" w:cs="Arial"/>
          <w:b w:val="0"/>
          <w:bCs w:val="0"/>
          <w:color w:val="0000FF"/>
          <w:spacing w:val="0"/>
          <w:w w:val="100"/>
          <w:u w:val="single" w:color="0000FF"/>
        </w:rPr>
        <w:t>om</w:t>
      </w:r>
      <w: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3520" w:right="2500" w:firstLine="12"/>
        <w:jc w:val="left"/>
        <w:textAlignment w:val="auto"/>
        <w:outlineLvl w:val="9"/>
      </w:pPr>
      <w:r>
        <w:rPr>
          <w:b w:val="0"/>
          <w:bCs w:val="0"/>
          <w:color w:val="000000"/>
          <w:spacing w:val="0"/>
          <w:w w:val="100"/>
          <w:u w:val="none"/>
        </w:rPr>
        <w:t>地点：综合楼</w:t>
      </w:r>
      <w:r>
        <w:rPr>
          <w:b w:val="0"/>
          <w:bCs w:val="0"/>
          <w:color w:val="000000"/>
          <w:spacing w:val="-45"/>
          <w:w w:val="100"/>
          <w:u w:val="none"/>
        </w:rPr>
        <w:t xml:space="preserve"> </w:t>
      </w:r>
      <w:r>
        <w:rPr>
          <w:rFonts w:ascii="Arial" w:hAnsi="Arial" w:eastAsia="Arial" w:cs="Arial"/>
          <w:b w:val="0"/>
          <w:bCs w:val="0"/>
          <w:color w:val="000000"/>
          <w:spacing w:val="0"/>
          <w:w w:val="100"/>
          <w:u w:val="none"/>
        </w:rPr>
        <w:t>4</w:t>
      </w:r>
      <w:r>
        <w:rPr>
          <w:rFonts w:hint="eastAsia" w:ascii="Arial" w:hAnsi="Arial" w:cs="Arial"/>
          <w:b w:val="0"/>
          <w:bCs w:val="0"/>
          <w:color w:val="000000"/>
          <w:spacing w:val="0"/>
          <w:w w:val="100"/>
          <w:u w:val="none"/>
          <w:lang w:val="en-US" w:eastAsia="zh-CN"/>
        </w:rPr>
        <w:t>21</w:t>
      </w:r>
      <w:r>
        <w:rPr>
          <w:rFonts w:hint="eastAsia" w:ascii="Arial" w:hAnsi="Arial" w:cs="Arial"/>
          <w:b w:val="0"/>
          <w:bCs w:val="0"/>
          <w:color w:val="000000"/>
          <w:spacing w:val="-11"/>
          <w:w w:val="100"/>
          <w:u w:val="none"/>
          <w:lang w:eastAsia="zh-CN"/>
        </w:rPr>
        <w:t>办公室</w:t>
      </w:r>
      <w:r>
        <w:rPr>
          <w:rFonts w:hint="eastAsia" w:ascii="Arial" w:hAnsi="Arial" w:cs="Arial"/>
          <w:b w:val="0"/>
          <w:bCs w:val="0"/>
          <w:color w:val="000000"/>
          <w:spacing w:val="-11"/>
          <w:w w:val="100"/>
          <w:u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3539" w:right="0"/>
        <w:jc w:val="left"/>
        <w:textAlignment w:val="auto"/>
        <w:outlineLvl w:val="9"/>
        <w:rPr>
          <w:rFonts w:hint="eastAsia"/>
          <w:b w:val="0"/>
          <w:bCs w:val="0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时间</w:t>
      </w:r>
      <w:r>
        <w:rPr>
          <w:b w:val="0"/>
          <w:bCs w:val="0"/>
          <w:color w:val="000000" w:themeColor="text1"/>
          <w:spacing w:val="-45"/>
          <w:w w:val="100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spacing w:val="0"/>
          <w:w w:val="100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  <w:t>2月23日 、3月2日、3月9日、3月16日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3539" w:right="0"/>
        <w:jc w:val="left"/>
        <w:textAlignment w:val="auto"/>
        <w:outlineLvl w:val="9"/>
        <w:rPr>
          <w:rFonts w:hint="eastAsia"/>
          <w:b w:val="0"/>
          <w:bCs w:val="0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  <w:t xml:space="preserve">       3月23日、3月30日、4月6日、4月13日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3539" w:right="0"/>
        <w:jc w:val="left"/>
        <w:textAlignment w:val="auto"/>
        <w:outlineLvl w:val="9"/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  <w:t xml:space="preserve">       4月20日 （</w:t>
      </w:r>
      <w:r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  <w:t>星期四</w:t>
      </w:r>
      <w:r>
        <w:rPr>
          <w:rFonts w:hint="eastAsia"/>
          <w:b w:val="0"/>
          <w:bCs w:val="0"/>
          <w:color w:val="000000" w:themeColor="text1"/>
          <w:spacing w:val="0"/>
          <w:w w:val="100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  <w:t xml:space="preserve"> </w:t>
      </w:r>
      <w:r>
        <w:rPr>
          <w:rFonts w:ascii="Arial" w:hAnsi="Arial" w:eastAsia="Arial" w:cs="Arial"/>
          <w:b w:val="0"/>
          <w:bCs w:val="0"/>
          <w:color w:val="000000"/>
          <w:spacing w:val="0"/>
          <w:w w:val="100"/>
        </w:rPr>
        <w:t>1</w:t>
      </w:r>
      <w:r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  <w:t>4</w:t>
      </w:r>
      <w:r>
        <w:rPr>
          <w:rFonts w:ascii="Arial" w:hAnsi="Arial" w:eastAsia="Arial" w:cs="Arial"/>
          <w:b w:val="0"/>
          <w:bCs w:val="0"/>
          <w:color w:val="000000"/>
          <w:spacing w:val="0"/>
          <w:w w:val="100"/>
        </w:rPr>
        <w:t>：</w:t>
      </w:r>
      <w:r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  <w:t>30</w:t>
      </w:r>
      <w:r>
        <w:rPr>
          <w:rFonts w:ascii="Arial" w:hAnsi="Arial" w:eastAsia="Arial" w:cs="Arial"/>
          <w:b w:val="0"/>
          <w:bCs w:val="0"/>
          <w:color w:val="000000"/>
          <w:spacing w:val="0"/>
          <w:w w:val="100"/>
        </w:rPr>
        <w:t xml:space="preserve"> 一 1</w:t>
      </w:r>
      <w:r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  <w:t>6</w:t>
      </w:r>
      <w:r>
        <w:rPr>
          <w:rFonts w:ascii="Arial" w:hAnsi="Arial" w:eastAsia="Arial" w:cs="Arial"/>
          <w:b w:val="0"/>
          <w:bCs w:val="0"/>
          <w:color w:val="000000"/>
          <w:spacing w:val="0"/>
          <w:w w:val="100"/>
        </w:rPr>
        <w:t>：</w:t>
      </w:r>
      <w:r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  <w:t>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Arial" w:hAnsi="Arial" w:cs="Arial"/>
          <w:b w:val="0"/>
          <w:bCs w:val="0"/>
          <w:color w:val="000000"/>
          <w:spacing w:val="0"/>
          <w:w w:val="100"/>
          <w:lang w:val="en-US" w:eastAsia="zh-CN"/>
        </w:rPr>
      </w:pPr>
    </w:p>
    <w:p>
      <w:pPr>
        <w:tabs>
          <w:tab w:val="left" w:pos="3587"/>
        </w:tabs>
        <w:spacing w:line="200" w:lineRule="exact"/>
        <w:rPr>
          <w:rFonts w:hint="eastAsia" w:eastAsia="宋体"/>
          <w:sz w:val="20"/>
          <w:szCs w:val="20"/>
          <w:lang w:eastAsia="zh-CN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spacing w:line="504" w:lineRule="auto"/>
        <w:ind w:left="100" w:right="114" w:firstLine="849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赵蜀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w w:val="100"/>
        </w:rPr>
        <w:t>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(1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w w:val="100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66.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w w:val="100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3-)女，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w w:val="100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川省成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w w:val="100"/>
        </w:rPr>
        <w:t>都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市人，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w w:val="100"/>
        </w:rPr>
        <w:t>管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理学博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w w:val="100"/>
        </w:rPr>
        <w:t>士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（200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w w:val="10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.12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w w:val="10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四川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2"/>
          <w:w w:val="100"/>
        </w:rPr>
        <w:t>大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学)，教授；19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w w:val="10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7 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1"/>
          <w:w w:val="10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2"/>
          <w:w w:val="10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40"/>
          <w:w w:val="10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</w:rPr>
        <w:t>毕业于四川外国语学院师范系,在电子科技大学任教至今。</w:t>
      </w:r>
    </w:p>
    <w:p>
      <w:pPr>
        <w:pStyle w:val="2"/>
        <w:spacing w:before="84" w:line="499" w:lineRule="auto"/>
        <w:ind w:right="115" w:firstLine="360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研究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0"/>
          <w:w w:val="100"/>
        </w:rPr>
        <w:t>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2"/>
          <w:w w:val="100"/>
        </w:rPr>
        <w:t>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</w:rPr>
        <w:t>与政治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pacing w:val="4"/>
          <w:w w:val="100"/>
          <w:lang w:eastAsia="zh-CN"/>
        </w:rPr>
        <w:t>及战略管理研究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0"/>
          <w:w w:val="100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公开发表学术论文 100 余篇，其中21 篇被 EI 收录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 xml:space="preserve"> 篇被ISTP/ISSHP、CSSCI 收录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被人大报刊资料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转载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复印。主持、主研国家社科基金及省部级以上课题 8 项；主编与参编著作共 19 本，包括国家 级“十一五”规划教材《战略管理----概论、案例与分析》、校级“十一五”规划教材《世界经济与贸易知识选读》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及个人专著《全球化与中国企业跨国市场进入战略》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。承担《国际政治经典著作选读》、《行政管理经典著作选读》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《全球化与世界政治研究》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和《比较政府与政治》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等全英文课程教学，获2003年校级教学质量优秀主讲教师(第十一届)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val="en-US" w:eastAsia="zh-CN"/>
        </w:rPr>
        <w:t>2012年校级教学成果奖（第七届）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。</w:t>
      </w:r>
    </w:p>
    <w:p>
      <w:pPr>
        <w:pStyle w:val="2"/>
        <w:spacing w:before="84" w:line="499" w:lineRule="auto"/>
        <w:ind w:right="115" w:firstLine="360"/>
        <w:jc w:val="both"/>
        <w:rPr>
          <w:rFonts w:hint="eastAsia" w:eastAsia="宋体"/>
          <w:bCs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作为公共管理国际会议执行主席及会议论文集执行主编，</w:t>
      </w:r>
      <w:r>
        <w:rPr>
          <w:rFonts w:hAnsi="宋体"/>
          <w:bCs/>
          <w:szCs w:val="21"/>
        </w:rPr>
        <w:t>历届论文集（</w:t>
      </w:r>
      <w:r>
        <w:rPr>
          <w:bCs/>
          <w:szCs w:val="21"/>
        </w:rPr>
        <w:t>2005</w:t>
      </w:r>
      <w:r>
        <w:rPr>
          <w:rFonts w:hAnsi="宋体"/>
          <w:bCs/>
          <w:szCs w:val="21"/>
        </w:rPr>
        <w:t>年</w:t>
      </w:r>
      <w:r>
        <w:rPr>
          <w:bCs/>
          <w:szCs w:val="21"/>
        </w:rPr>
        <w:t>-2015</w:t>
      </w:r>
      <w:r>
        <w:rPr>
          <w:rFonts w:hAnsi="宋体"/>
          <w:bCs/>
          <w:szCs w:val="21"/>
        </w:rPr>
        <w:t>年）获美国情报研究所</w:t>
      </w:r>
      <w:r>
        <w:rPr>
          <w:bCs/>
          <w:szCs w:val="21"/>
        </w:rPr>
        <w:t xml:space="preserve"> </w:t>
      </w:r>
      <w:r>
        <w:rPr>
          <w:rFonts w:hAnsi="宋体"/>
          <w:bCs/>
          <w:szCs w:val="21"/>
        </w:rPr>
        <w:t>（</w:t>
      </w:r>
      <w:r>
        <w:rPr>
          <w:bCs/>
          <w:szCs w:val="21"/>
        </w:rPr>
        <w:t>ISI Web of Knowledge</w:t>
      </w:r>
      <w:r>
        <w:rPr>
          <w:rFonts w:hAnsi="宋体"/>
          <w:bCs/>
          <w:szCs w:val="21"/>
        </w:rPr>
        <w:t>）</w:t>
      </w:r>
      <w:r>
        <w:rPr>
          <w:bCs/>
          <w:szCs w:val="21"/>
        </w:rPr>
        <w:t xml:space="preserve">CPCI-SSH </w:t>
      </w:r>
      <w:r>
        <w:rPr>
          <w:rFonts w:hAnsi="宋体"/>
          <w:bCs/>
          <w:szCs w:val="21"/>
        </w:rPr>
        <w:t>检索收录；</w:t>
      </w:r>
      <w:r>
        <w:rPr>
          <w:bCs/>
          <w:szCs w:val="21"/>
        </w:rPr>
        <w:t>获美国公共管理学会颁发的“2013年度杰出贡献奖（2013 Award of ASPA Presidential Citation of Merits）</w:t>
      </w:r>
      <w:r>
        <w:rPr>
          <w:rFonts w:hint="eastAsia"/>
          <w:bCs/>
          <w:szCs w:val="21"/>
        </w:rPr>
        <w:t>。</w:t>
      </w:r>
    </w:p>
    <w:p>
      <w:pPr>
        <w:pStyle w:val="2"/>
        <w:spacing w:before="84" w:line="499" w:lineRule="auto"/>
        <w:ind w:right="115" w:firstLine="360"/>
        <w:jc w:val="both"/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</w:rPr>
        <w:t>国家自然科学基金委员会认定管理科学 A 级重要期刊《管理科学》杂志副主编、中国行政管理学会会刊《中国行政管理》杂志专家库成员、美国公共管理学会会刊《Public Integrity》编委、美国公共管理学会国际分会常务理事、美国公共管理学会会员、四川省自然科学研究和工程系列高级专业技术职务评审专家、国家公派出国留学评审专家、哈尔滨工业大学管理科学与工程国际会议审稿专家、四川大学战略管理国际会议组委会秘书长及审稿专家、南非University of Pretoria（QS 2014-2015年全球大学排名471-480）与印度国立大学 Acharya Nagarjuna University公共管理专业博士论文评审专家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w w:val="100"/>
          <w:lang w:eastAsia="zh-CN"/>
        </w:rPr>
        <w:t>。</w:t>
      </w:r>
    </w:p>
    <w:sectPr>
      <w:type w:val="continuous"/>
      <w:pgSz w:w="11907" w:h="16840"/>
      <w:pgMar w:top="1380" w:right="14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16F62"/>
    <w:rsid w:val="09EA3AAA"/>
    <w:rsid w:val="09FE75F3"/>
    <w:rsid w:val="0B5E7D4B"/>
    <w:rsid w:val="0C4D729A"/>
    <w:rsid w:val="0FAD1DC8"/>
    <w:rsid w:val="107A5C99"/>
    <w:rsid w:val="1091203B"/>
    <w:rsid w:val="113F0DAC"/>
    <w:rsid w:val="12672311"/>
    <w:rsid w:val="14624C75"/>
    <w:rsid w:val="16065B93"/>
    <w:rsid w:val="174F5CCB"/>
    <w:rsid w:val="19345C9A"/>
    <w:rsid w:val="1A2608F3"/>
    <w:rsid w:val="1B47684C"/>
    <w:rsid w:val="1E846C1E"/>
    <w:rsid w:val="1F374387"/>
    <w:rsid w:val="21CE06D4"/>
    <w:rsid w:val="24D65FB1"/>
    <w:rsid w:val="263E26C1"/>
    <w:rsid w:val="268E31D5"/>
    <w:rsid w:val="286670FB"/>
    <w:rsid w:val="28E66F19"/>
    <w:rsid w:val="2A63541A"/>
    <w:rsid w:val="2B3012EB"/>
    <w:rsid w:val="2B3D08EC"/>
    <w:rsid w:val="2B6A5005"/>
    <w:rsid w:val="2CD64AD4"/>
    <w:rsid w:val="2D7C52CF"/>
    <w:rsid w:val="2FE109FC"/>
    <w:rsid w:val="30726C8B"/>
    <w:rsid w:val="31E80B9A"/>
    <w:rsid w:val="32CE6346"/>
    <w:rsid w:val="35531300"/>
    <w:rsid w:val="35CC0905"/>
    <w:rsid w:val="38FB4BD4"/>
    <w:rsid w:val="3AE515CA"/>
    <w:rsid w:val="3C063688"/>
    <w:rsid w:val="3E0B01C7"/>
    <w:rsid w:val="3EFE3EBD"/>
    <w:rsid w:val="40457F62"/>
    <w:rsid w:val="418D6BA0"/>
    <w:rsid w:val="41BD4A3C"/>
    <w:rsid w:val="420550BC"/>
    <w:rsid w:val="440E42C0"/>
    <w:rsid w:val="47E51E85"/>
    <w:rsid w:val="48D7151E"/>
    <w:rsid w:val="493B4829"/>
    <w:rsid w:val="499967C7"/>
    <w:rsid w:val="4A6A584D"/>
    <w:rsid w:val="4D3A717D"/>
    <w:rsid w:val="4EF9611F"/>
    <w:rsid w:val="509B5586"/>
    <w:rsid w:val="50C2570B"/>
    <w:rsid w:val="52F61E27"/>
    <w:rsid w:val="54F476EE"/>
    <w:rsid w:val="58F133F6"/>
    <w:rsid w:val="594E169F"/>
    <w:rsid w:val="5EEB49C6"/>
    <w:rsid w:val="605900FB"/>
    <w:rsid w:val="605F2211"/>
    <w:rsid w:val="60CA0904"/>
    <w:rsid w:val="64A442ED"/>
    <w:rsid w:val="6567676F"/>
    <w:rsid w:val="66F97F7F"/>
    <w:rsid w:val="67CF42A8"/>
    <w:rsid w:val="68327A75"/>
    <w:rsid w:val="697A6D19"/>
    <w:rsid w:val="6FC74651"/>
    <w:rsid w:val="730E55D1"/>
    <w:rsid w:val="74531F94"/>
    <w:rsid w:val="752F60B4"/>
    <w:rsid w:val="75CC6C05"/>
    <w:rsid w:val="77D90A2D"/>
    <w:rsid w:val="7881108B"/>
    <w:rsid w:val="7E5033AB"/>
    <w:rsid w:val="7E6C6CF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/>
      <w:sz w:val="18"/>
      <w:szCs w:val="18"/>
    </w:r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2015-04-14T18:03:00Z</dcterms:created>
  <dc:creator>USER</dc:creator>
  <cp:lastModifiedBy>admin</cp:lastModifiedBy>
  <dcterms:modified xsi:type="dcterms:W3CDTF">2017-02-20T08:47:06Z</dcterms:modified>
  <dc:title>赵蜀蓉，女，汉族，1966年3月出生，四川成都人，毕业于四川大学工商管理学院获管理学博士学位，现为政治与公共管理学院院长助理，教授，校级教学质量优秀主讲教师(第十一届)。公共管理国际会议大会执行主席及会议论文集执行主编，中国行政管理学会会刊《中国行政管理》杂志专家库成员，美国公共管理学会会刊 《Public Integrity》(公共诚信)杂志编委，印度奧斯玛利亚大学学报《International Study》(国际研究)杂志编委，国际伦理学会常务理事。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LastSaved">
    <vt:filetime>2015-04-14T00:00:00Z</vt:filetime>
  </property>
  <property fmtid="{D5CDD505-2E9C-101B-9397-08002B2CF9AE}" pid="4" name="KSOProductBuildVer">
    <vt:lpwstr>2052-10.1.0.6135</vt:lpwstr>
  </property>
</Properties>
</file>