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line="510" w:lineRule="atLeast"/>
        <w:jc w:val="center"/>
        <w:rPr>
          <w:rFonts w:eastAsiaTheme="minorEastAsia"/>
          <w:b/>
          <w:kern w:val="0"/>
          <w:sz w:val="28"/>
          <w:szCs w:val="28"/>
        </w:rPr>
      </w:pPr>
      <w:r>
        <w:rPr>
          <w:rFonts w:hAnsiTheme="minorEastAsia" w:eastAsiaTheme="minorEastAsia"/>
          <w:b/>
          <w:kern w:val="0"/>
          <w:sz w:val="28"/>
          <w:szCs w:val="28"/>
        </w:rPr>
        <w:t>政治与公共管理学院</w:t>
      </w:r>
      <w:r>
        <w:rPr>
          <w:rFonts w:eastAsiaTheme="minorEastAsia"/>
          <w:b/>
          <w:kern w:val="0"/>
          <w:sz w:val="28"/>
          <w:szCs w:val="28"/>
        </w:rPr>
        <w:t>201</w:t>
      </w:r>
      <w:r>
        <w:rPr>
          <w:rFonts w:hint="eastAsia" w:eastAsiaTheme="minorEastAsia"/>
          <w:b/>
          <w:kern w:val="0"/>
          <w:sz w:val="28"/>
          <w:szCs w:val="28"/>
        </w:rPr>
        <w:t>7</w:t>
      </w:r>
      <w:r>
        <w:rPr>
          <w:rFonts w:hAnsiTheme="minorEastAsia" w:eastAsiaTheme="minorEastAsia"/>
          <w:b/>
          <w:kern w:val="0"/>
          <w:sz w:val="28"/>
          <w:szCs w:val="28"/>
        </w:rPr>
        <w:t>年硕士研究生入学考试复试通知</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根据《电子科技大学2017年全国硕士研究生招生考试复试工作办法》的精神，政治与公共管理硕士研究生入学考试复试工作安排如下：</w:t>
      </w:r>
    </w:p>
    <w:p>
      <w:pPr>
        <w:widowControl/>
        <w:spacing w:beforeLines="50" w:line="420" w:lineRule="exact"/>
        <w:ind w:firstLine="482" w:firstLineChars="200"/>
        <w:jc w:val="left"/>
        <w:rPr>
          <w:rFonts w:hint="eastAsia" w:ascii="微软雅黑" w:hAnsi="微软雅黑" w:eastAsia="微软雅黑" w:cs="微软雅黑"/>
          <w:b/>
          <w:kern w:val="0"/>
          <w:sz w:val="24"/>
        </w:rPr>
      </w:pPr>
      <w:r>
        <w:rPr>
          <w:rFonts w:hint="eastAsia" w:ascii="微软雅黑" w:hAnsi="微软雅黑" w:eastAsia="微软雅黑" w:cs="微软雅黑"/>
          <w:b/>
          <w:kern w:val="0"/>
          <w:sz w:val="24"/>
        </w:rPr>
        <w:t>一、复试分数要求</w:t>
      </w:r>
    </w:p>
    <w:tbl>
      <w:tblPr>
        <w:tblStyle w:val="8"/>
        <w:tblW w:w="8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6"/>
        <w:gridCol w:w="2226"/>
        <w:gridCol w:w="1199"/>
        <w:gridCol w:w="1028"/>
        <w:gridCol w:w="1199"/>
        <w:gridCol w:w="1199"/>
        <w:gridCol w:w="5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082" w:type="dxa"/>
            <w:gridSpan w:val="2"/>
            <w:vMerge w:val="restart"/>
            <w:tcBorders>
              <w:top w:val="outset" w:color="auto" w:sz="6" w:space="0"/>
              <w:left w:val="outset" w:color="auto" w:sz="6" w:space="0"/>
              <w:bottom w:val="outset" w:color="auto" w:sz="6" w:space="0"/>
              <w:right w:val="outset" w:color="auto" w:sz="6" w:space="0"/>
            </w:tcBorders>
            <w:vAlign w:val="center"/>
          </w:tcPr>
          <w:p>
            <w:pPr>
              <w:widowControl/>
              <w:spacing w:beforeAutospacing="1" w:afterAutospacing="1"/>
              <w:jc w:val="center"/>
              <w:rPr>
                <w:rFonts w:hint="eastAsia" w:ascii="微软雅黑" w:hAnsi="微软雅黑" w:eastAsia="微软雅黑" w:cs="微软雅黑"/>
                <w:kern w:val="0"/>
                <w:sz w:val="24"/>
              </w:rPr>
            </w:pPr>
            <w:r>
              <w:rPr>
                <w:rFonts w:hint="eastAsia" w:ascii="微软雅黑" w:hAnsi="微软雅黑" w:eastAsia="微软雅黑" w:cs="微软雅黑"/>
                <w:b/>
                <w:kern w:val="0"/>
                <w:sz w:val="18"/>
                <w:szCs w:val="20"/>
              </w:rPr>
              <w:t>学科</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spacing w:beforeAutospacing="1" w:afterAutospacing="1"/>
              <w:jc w:val="center"/>
              <w:rPr>
                <w:rFonts w:hint="eastAsia" w:ascii="微软雅黑" w:hAnsi="微软雅黑" w:eastAsia="微软雅黑" w:cs="微软雅黑"/>
                <w:kern w:val="0"/>
                <w:sz w:val="24"/>
              </w:rPr>
            </w:pPr>
            <w:r>
              <w:rPr>
                <w:rFonts w:hint="eastAsia" w:ascii="微软雅黑" w:hAnsi="微软雅黑" w:eastAsia="微软雅黑" w:cs="微软雅黑"/>
                <w:b/>
                <w:kern w:val="0"/>
                <w:sz w:val="18"/>
                <w:szCs w:val="20"/>
              </w:rPr>
              <w:t>第一单元</w:t>
            </w:r>
          </w:p>
        </w:tc>
        <w:tc>
          <w:tcPr>
            <w:tcW w:w="1028" w:type="dxa"/>
            <w:tcBorders>
              <w:top w:val="outset" w:color="auto" w:sz="6" w:space="0"/>
              <w:left w:val="outset" w:color="auto" w:sz="6" w:space="0"/>
              <w:bottom w:val="outset" w:color="auto" w:sz="6" w:space="0"/>
              <w:right w:val="outset" w:color="auto" w:sz="6" w:space="0"/>
            </w:tcBorders>
            <w:vAlign w:val="center"/>
          </w:tcPr>
          <w:p>
            <w:pPr>
              <w:widowControl/>
              <w:spacing w:beforeAutospacing="1" w:afterAutospacing="1"/>
              <w:jc w:val="center"/>
              <w:rPr>
                <w:rFonts w:hint="eastAsia" w:ascii="微软雅黑" w:hAnsi="微软雅黑" w:eastAsia="微软雅黑" w:cs="微软雅黑"/>
                <w:kern w:val="0"/>
                <w:sz w:val="24"/>
              </w:rPr>
            </w:pPr>
            <w:r>
              <w:rPr>
                <w:rFonts w:hint="eastAsia" w:ascii="微软雅黑" w:hAnsi="微软雅黑" w:eastAsia="微软雅黑" w:cs="微软雅黑"/>
                <w:b/>
                <w:kern w:val="0"/>
                <w:sz w:val="18"/>
                <w:szCs w:val="20"/>
              </w:rPr>
              <w:t>第二单元</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spacing w:beforeAutospacing="1" w:afterAutospacing="1"/>
              <w:jc w:val="center"/>
              <w:rPr>
                <w:rFonts w:hint="eastAsia" w:ascii="微软雅黑" w:hAnsi="微软雅黑" w:eastAsia="微软雅黑" w:cs="微软雅黑"/>
                <w:kern w:val="0"/>
                <w:sz w:val="24"/>
              </w:rPr>
            </w:pPr>
            <w:r>
              <w:rPr>
                <w:rFonts w:hint="eastAsia" w:ascii="微软雅黑" w:hAnsi="微软雅黑" w:eastAsia="微软雅黑" w:cs="微软雅黑"/>
                <w:b/>
                <w:kern w:val="0"/>
                <w:sz w:val="18"/>
                <w:szCs w:val="20"/>
              </w:rPr>
              <w:t>第三单元</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spacing w:beforeAutospacing="1" w:afterAutospacing="1"/>
              <w:jc w:val="center"/>
              <w:rPr>
                <w:rFonts w:hint="eastAsia" w:ascii="微软雅黑" w:hAnsi="微软雅黑" w:eastAsia="微软雅黑" w:cs="微软雅黑"/>
                <w:kern w:val="0"/>
                <w:sz w:val="24"/>
              </w:rPr>
            </w:pPr>
            <w:r>
              <w:rPr>
                <w:rFonts w:hint="eastAsia" w:ascii="微软雅黑" w:hAnsi="微软雅黑" w:eastAsia="微软雅黑" w:cs="微软雅黑"/>
                <w:b/>
                <w:kern w:val="0"/>
                <w:sz w:val="18"/>
                <w:szCs w:val="20"/>
              </w:rPr>
              <w:t>第四单元</w:t>
            </w:r>
          </w:p>
        </w:tc>
        <w:tc>
          <w:tcPr>
            <w:tcW w:w="599"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Autospacing="1" w:afterAutospacing="1"/>
              <w:jc w:val="center"/>
              <w:rPr>
                <w:rFonts w:hint="eastAsia" w:ascii="微软雅黑" w:hAnsi="微软雅黑" w:eastAsia="微软雅黑" w:cs="微软雅黑"/>
                <w:kern w:val="0"/>
                <w:sz w:val="24"/>
              </w:rPr>
            </w:pPr>
            <w:r>
              <w:rPr>
                <w:rFonts w:hint="eastAsia" w:ascii="微软雅黑" w:hAnsi="微软雅黑" w:eastAsia="微软雅黑" w:cs="微软雅黑"/>
                <w:b/>
                <w:kern w:val="0"/>
                <w:sz w:val="18"/>
                <w:szCs w:val="20"/>
              </w:rPr>
              <w:t>总分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082" w:type="dxa"/>
            <w:gridSpan w:val="2"/>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微软雅黑" w:hAnsi="微软雅黑" w:eastAsia="微软雅黑" w:cs="微软雅黑"/>
                <w:sz w:val="20"/>
                <w:szCs w:val="20"/>
              </w:rPr>
            </w:pPr>
          </w:p>
        </w:tc>
        <w:tc>
          <w:tcPr>
            <w:tcW w:w="1199" w:type="dxa"/>
            <w:tcBorders>
              <w:top w:val="outset" w:color="auto" w:sz="6" w:space="0"/>
              <w:left w:val="outset" w:color="auto" w:sz="6" w:space="0"/>
              <w:bottom w:val="outset" w:color="auto" w:sz="6" w:space="0"/>
              <w:right w:val="outset" w:color="auto" w:sz="6" w:space="0"/>
            </w:tcBorders>
            <w:vAlign w:val="center"/>
          </w:tcPr>
          <w:p>
            <w:pPr>
              <w:widowControl/>
              <w:spacing w:beforeAutospacing="1" w:afterAutospacing="1"/>
              <w:jc w:val="center"/>
              <w:rPr>
                <w:rFonts w:hint="eastAsia" w:ascii="微软雅黑" w:hAnsi="微软雅黑" w:eastAsia="微软雅黑" w:cs="微软雅黑"/>
                <w:kern w:val="0"/>
                <w:sz w:val="24"/>
              </w:rPr>
            </w:pPr>
            <w:r>
              <w:rPr>
                <w:rFonts w:hint="eastAsia" w:ascii="微软雅黑" w:hAnsi="微软雅黑" w:eastAsia="微软雅黑" w:cs="微软雅黑"/>
                <w:b/>
                <w:kern w:val="0"/>
                <w:sz w:val="18"/>
                <w:szCs w:val="20"/>
              </w:rPr>
              <w:t>(政治理论)</w:t>
            </w:r>
          </w:p>
        </w:tc>
        <w:tc>
          <w:tcPr>
            <w:tcW w:w="1028" w:type="dxa"/>
            <w:tcBorders>
              <w:top w:val="outset" w:color="auto" w:sz="6" w:space="0"/>
              <w:left w:val="outset" w:color="auto" w:sz="6" w:space="0"/>
              <w:bottom w:val="outset" w:color="auto" w:sz="6" w:space="0"/>
              <w:right w:val="outset" w:color="auto" w:sz="6" w:space="0"/>
            </w:tcBorders>
            <w:vAlign w:val="center"/>
          </w:tcPr>
          <w:p>
            <w:pPr>
              <w:widowControl/>
              <w:spacing w:beforeAutospacing="1" w:afterAutospacing="1"/>
              <w:jc w:val="center"/>
              <w:rPr>
                <w:rFonts w:hint="eastAsia" w:ascii="微软雅黑" w:hAnsi="微软雅黑" w:eastAsia="微软雅黑" w:cs="微软雅黑"/>
                <w:kern w:val="0"/>
                <w:sz w:val="24"/>
              </w:rPr>
            </w:pPr>
            <w:r>
              <w:rPr>
                <w:rFonts w:hint="eastAsia" w:ascii="微软雅黑" w:hAnsi="微软雅黑" w:eastAsia="微软雅黑" w:cs="微软雅黑"/>
                <w:b/>
                <w:kern w:val="0"/>
                <w:sz w:val="18"/>
                <w:szCs w:val="20"/>
              </w:rPr>
              <w:t>(外国语)</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spacing w:beforeAutospacing="1" w:afterAutospacing="1"/>
              <w:jc w:val="center"/>
              <w:rPr>
                <w:rFonts w:hint="eastAsia" w:ascii="微软雅黑" w:hAnsi="微软雅黑" w:eastAsia="微软雅黑" w:cs="微软雅黑"/>
                <w:kern w:val="0"/>
                <w:sz w:val="24"/>
              </w:rPr>
            </w:pPr>
            <w:r>
              <w:rPr>
                <w:rFonts w:hint="eastAsia" w:ascii="微软雅黑" w:hAnsi="微软雅黑" w:eastAsia="微软雅黑" w:cs="微软雅黑"/>
                <w:b/>
                <w:kern w:val="0"/>
                <w:sz w:val="18"/>
                <w:szCs w:val="20"/>
              </w:rPr>
              <w:t>(业务课一)</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spacing w:beforeAutospacing="1" w:afterAutospacing="1"/>
              <w:jc w:val="center"/>
              <w:rPr>
                <w:rFonts w:hint="eastAsia" w:ascii="微软雅黑" w:hAnsi="微软雅黑" w:eastAsia="微软雅黑" w:cs="微软雅黑"/>
                <w:kern w:val="0"/>
                <w:sz w:val="24"/>
              </w:rPr>
            </w:pPr>
            <w:r>
              <w:rPr>
                <w:rFonts w:hint="eastAsia" w:ascii="微软雅黑" w:hAnsi="微软雅黑" w:eastAsia="微软雅黑" w:cs="微软雅黑"/>
                <w:b/>
                <w:kern w:val="0"/>
                <w:sz w:val="18"/>
                <w:szCs w:val="20"/>
              </w:rPr>
              <w:t>(业务课二)</w:t>
            </w:r>
          </w:p>
        </w:tc>
        <w:tc>
          <w:tcPr>
            <w:tcW w:w="599"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微软雅黑" w:hAnsi="微软雅黑" w:eastAsia="微软雅黑" w:cs="微软雅黑"/>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082" w:type="dxa"/>
            <w:gridSpan w:val="2"/>
            <w:tcBorders>
              <w:top w:val="outset" w:color="auto" w:sz="6" w:space="0"/>
              <w:left w:val="outset" w:color="auto" w:sz="6" w:space="0"/>
              <w:bottom w:val="outset" w:color="auto" w:sz="6" w:space="0"/>
              <w:right w:val="outset" w:color="auto" w:sz="6" w:space="0"/>
            </w:tcBorders>
            <w:vAlign w:val="center"/>
          </w:tcPr>
          <w:p>
            <w:pPr>
              <w:widowControl/>
              <w:spacing w:beforeAutospacing="1" w:afterAutospacing="1"/>
              <w:jc w:val="center"/>
              <w:rPr>
                <w:rFonts w:hint="eastAsia" w:ascii="微软雅黑" w:hAnsi="微软雅黑" w:eastAsia="微软雅黑" w:cs="微软雅黑"/>
                <w:kern w:val="0"/>
                <w:sz w:val="24"/>
              </w:rPr>
            </w:pPr>
            <w:r>
              <w:rPr>
                <w:rFonts w:hint="eastAsia" w:ascii="微软雅黑" w:hAnsi="微软雅黑" w:eastAsia="微软雅黑" w:cs="微软雅黑"/>
                <w:kern w:val="0"/>
                <w:sz w:val="18"/>
                <w:szCs w:val="18"/>
              </w:rPr>
              <w:t>03法学（宪法学与行政法学）</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50</w:t>
            </w:r>
          </w:p>
        </w:tc>
        <w:tc>
          <w:tcPr>
            <w:tcW w:w="1028"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50</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80</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80</w:t>
            </w:r>
          </w:p>
        </w:tc>
        <w:tc>
          <w:tcPr>
            <w:tcW w:w="5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350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082" w:type="dxa"/>
            <w:gridSpan w:val="2"/>
            <w:tcBorders>
              <w:top w:val="outset" w:color="auto" w:sz="6" w:space="0"/>
              <w:left w:val="outset" w:color="auto" w:sz="6" w:space="0"/>
              <w:bottom w:val="outset" w:color="auto" w:sz="6" w:space="0"/>
              <w:right w:val="outset" w:color="auto" w:sz="6" w:space="0"/>
            </w:tcBorders>
            <w:vAlign w:val="center"/>
          </w:tcPr>
          <w:p>
            <w:pPr>
              <w:widowControl/>
              <w:spacing w:beforeAutospacing="1" w:afterAutospacing="1"/>
              <w:jc w:val="center"/>
              <w:rPr>
                <w:rFonts w:hint="eastAsia" w:ascii="微软雅黑" w:hAnsi="微软雅黑" w:eastAsia="微软雅黑" w:cs="微软雅黑"/>
                <w:kern w:val="0"/>
                <w:sz w:val="24"/>
              </w:rPr>
            </w:pPr>
            <w:r>
              <w:rPr>
                <w:rFonts w:hint="eastAsia" w:ascii="微软雅黑" w:hAnsi="微软雅黑" w:eastAsia="微软雅黑" w:cs="微软雅黑"/>
                <w:kern w:val="0"/>
                <w:sz w:val="18"/>
                <w:szCs w:val="18"/>
              </w:rPr>
              <w:t>04教育学（应用心理学）</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50</w:t>
            </w:r>
          </w:p>
        </w:tc>
        <w:tc>
          <w:tcPr>
            <w:tcW w:w="1028"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50</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200</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wordWrap w:val="0"/>
              <w:jc w:val="center"/>
              <w:rPr>
                <w:rFonts w:hint="eastAsia" w:ascii="微软雅黑" w:hAnsi="微软雅黑" w:eastAsia="微软雅黑" w:cs="微软雅黑"/>
                <w:kern w:val="0"/>
                <w:sz w:val="24"/>
              </w:rPr>
            </w:pPr>
          </w:p>
        </w:tc>
        <w:tc>
          <w:tcPr>
            <w:tcW w:w="5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350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082" w:type="dxa"/>
            <w:gridSpan w:val="2"/>
            <w:tcBorders>
              <w:top w:val="outset" w:color="auto" w:sz="6" w:space="0"/>
              <w:left w:val="outset" w:color="auto" w:sz="6" w:space="0"/>
              <w:bottom w:val="outset" w:color="auto" w:sz="6" w:space="0"/>
              <w:right w:val="outset" w:color="auto" w:sz="6" w:space="0"/>
            </w:tcBorders>
            <w:vAlign w:val="center"/>
          </w:tcPr>
          <w:p>
            <w:pPr>
              <w:widowControl/>
              <w:spacing w:beforeAutospacing="1" w:afterAutospacing="1"/>
              <w:jc w:val="center"/>
              <w:rPr>
                <w:rFonts w:hint="eastAsia" w:ascii="微软雅黑" w:hAnsi="微软雅黑" w:eastAsia="微软雅黑" w:cs="微软雅黑"/>
                <w:kern w:val="0"/>
                <w:sz w:val="24"/>
              </w:rPr>
            </w:pPr>
            <w:r>
              <w:rPr>
                <w:rFonts w:hint="eastAsia" w:ascii="微软雅黑" w:hAnsi="微软雅黑" w:eastAsia="微软雅黑" w:cs="微软雅黑"/>
                <w:kern w:val="0"/>
                <w:sz w:val="18"/>
                <w:szCs w:val="18"/>
              </w:rPr>
              <w:t>05文学（新闻传播学）</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50</w:t>
            </w:r>
          </w:p>
        </w:tc>
        <w:tc>
          <w:tcPr>
            <w:tcW w:w="1028"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50</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70</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80</w:t>
            </w:r>
          </w:p>
        </w:tc>
        <w:tc>
          <w:tcPr>
            <w:tcW w:w="5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335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082" w:type="dxa"/>
            <w:gridSpan w:val="2"/>
            <w:tcBorders>
              <w:top w:val="outset" w:color="auto" w:sz="6" w:space="0"/>
              <w:left w:val="outset" w:color="auto" w:sz="6" w:space="0"/>
              <w:bottom w:val="outset" w:color="auto" w:sz="6" w:space="0"/>
              <w:right w:val="outset" w:color="auto" w:sz="6" w:space="0"/>
            </w:tcBorders>
            <w:vAlign w:val="center"/>
          </w:tcPr>
          <w:p>
            <w:pPr>
              <w:widowControl/>
              <w:spacing w:beforeAutospacing="1" w:afterAutospacing="1"/>
              <w:jc w:val="center"/>
              <w:rPr>
                <w:rFonts w:hint="eastAsia" w:ascii="微软雅黑" w:hAnsi="微软雅黑" w:eastAsia="微软雅黑" w:cs="微软雅黑"/>
                <w:kern w:val="0"/>
                <w:sz w:val="24"/>
              </w:rPr>
            </w:pPr>
            <w:r>
              <w:rPr>
                <w:rFonts w:hint="eastAsia" w:ascii="微软雅黑" w:hAnsi="微软雅黑" w:eastAsia="微软雅黑" w:cs="微软雅黑"/>
                <w:kern w:val="0"/>
                <w:sz w:val="18"/>
                <w:szCs w:val="18"/>
              </w:rPr>
              <w:t>12管理学</w:t>
            </w:r>
            <w:r>
              <w:rPr>
                <w:rFonts w:hint="eastAsia" w:ascii="微软雅黑" w:hAnsi="微软雅黑" w:eastAsia="微软雅黑" w:cs="微软雅黑"/>
                <w:kern w:val="0"/>
                <w:sz w:val="18"/>
                <w:szCs w:val="20"/>
              </w:rPr>
              <w:t>（公共管理）</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50</w:t>
            </w:r>
          </w:p>
        </w:tc>
        <w:tc>
          <w:tcPr>
            <w:tcW w:w="1028"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50</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80</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80</w:t>
            </w:r>
          </w:p>
        </w:tc>
        <w:tc>
          <w:tcPr>
            <w:tcW w:w="5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340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56"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专业学位</w:t>
            </w:r>
          </w:p>
        </w:tc>
        <w:tc>
          <w:tcPr>
            <w:tcW w:w="2226" w:type="dxa"/>
            <w:tcBorders>
              <w:top w:val="outset" w:color="auto" w:sz="6" w:space="0"/>
              <w:left w:val="outset" w:color="auto" w:sz="6" w:space="0"/>
              <w:bottom w:val="outset" w:color="auto" w:sz="6" w:space="0"/>
              <w:right w:val="outset" w:color="auto" w:sz="6" w:space="0"/>
            </w:tcBorders>
            <w:vAlign w:val="center"/>
          </w:tcPr>
          <w:p>
            <w:pPr>
              <w:widowControl/>
              <w:spacing w:beforeAutospacing="1" w:afterAutospacing="1"/>
              <w:jc w:val="center"/>
              <w:rPr>
                <w:rFonts w:hint="eastAsia" w:ascii="微软雅黑" w:hAnsi="微软雅黑" w:eastAsia="微软雅黑" w:cs="微软雅黑"/>
                <w:kern w:val="0"/>
                <w:sz w:val="24"/>
              </w:rPr>
            </w:pPr>
            <w:r>
              <w:rPr>
                <w:rFonts w:hint="eastAsia" w:ascii="微软雅黑" w:hAnsi="微软雅黑" w:eastAsia="微软雅黑" w:cs="微软雅黑"/>
                <w:kern w:val="0"/>
                <w:sz w:val="18"/>
                <w:szCs w:val="18"/>
              </w:rPr>
              <w:t>0552新闻与传播</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50</w:t>
            </w:r>
          </w:p>
        </w:tc>
        <w:tc>
          <w:tcPr>
            <w:tcW w:w="1028"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50</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70</w:t>
            </w:r>
          </w:p>
        </w:tc>
        <w:tc>
          <w:tcPr>
            <w:tcW w:w="11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80</w:t>
            </w:r>
          </w:p>
        </w:tc>
        <w:tc>
          <w:tcPr>
            <w:tcW w:w="599" w:type="dxa"/>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jc w:val="center"/>
              <w:textAlignment w:val="center"/>
              <w:rPr>
                <w:rFonts w:hint="eastAsia" w:ascii="微软雅黑" w:hAnsi="微软雅黑" w:eastAsia="微软雅黑" w:cs="微软雅黑"/>
                <w:kern w:val="0"/>
                <w:sz w:val="24"/>
              </w:rPr>
            </w:pPr>
            <w:r>
              <w:rPr>
                <w:rFonts w:hint="eastAsia" w:ascii="微软雅黑" w:hAnsi="微软雅黑" w:eastAsia="微软雅黑" w:cs="微软雅黑"/>
                <w:kern w:val="0"/>
                <w:sz w:val="20"/>
                <w:szCs w:val="20"/>
              </w:rPr>
              <w:t>335</w:t>
            </w:r>
          </w:p>
        </w:tc>
      </w:tr>
    </w:tbl>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凡第一志愿报考我院并达到上表相应专业分数线的考生均可参加我院复试。</w:t>
      </w:r>
    </w:p>
    <w:p>
      <w:pPr>
        <w:widowControl/>
        <w:spacing w:beforeLines="50" w:line="420" w:lineRule="exact"/>
        <w:ind w:firstLine="482" w:firstLineChars="200"/>
        <w:jc w:val="left"/>
        <w:rPr>
          <w:rFonts w:hint="eastAsia" w:ascii="微软雅黑" w:hAnsi="微软雅黑" w:eastAsia="微软雅黑" w:cs="微软雅黑"/>
          <w:b/>
          <w:kern w:val="0"/>
          <w:sz w:val="24"/>
        </w:rPr>
      </w:pPr>
      <w:r>
        <w:rPr>
          <w:rFonts w:hint="eastAsia" w:ascii="微软雅黑" w:hAnsi="微软雅黑" w:eastAsia="微软雅黑" w:cs="微软雅黑"/>
          <w:b/>
          <w:kern w:val="0"/>
          <w:sz w:val="24"/>
        </w:rPr>
        <w:t>二、复试通知相关事项</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3月10日学校</w:t>
      </w:r>
      <w:r>
        <w:rPr>
          <w:rFonts w:hint="eastAsia" w:ascii="微软雅黑" w:hAnsi="微软雅黑" w:eastAsia="微软雅黑" w:cs="微软雅黑"/>
          <w:sz w:val="24"/>
        </w:rPr>
        <w:t>开放硕士复试及复试费网上交费系统</w:t>
      </w:r>
      <w:r>
        <w:rPr>
          <w:rFonts w:hint="eastAsia" w:ascii="微软雅黑" w:hAnsi="微软雅黑" w:eastAsia="微软雅黑" w:cs="微软雅黑"/>
          <w:kern w:val="0"/>
          <w:sz w:val="24"/>
        </w:rPr>
        <w:t>。</w:t>
      </w:r>
    </w:p>
    <w:p>
      <w:pPr>
        <w:widowControl/>
        <w:numPr>
          <w:ilvl w:val="0"/>
          <w:numId w:val="1"/>
        </w:numPr>
        <w:spacing w:line="420" w:lineRule="exact"/>
        <w:ind w:firstLine="42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达到复试分数线的考生，</w:t>
      </w:r>
      <w:r>
        <w:rPr>
          <w:rFonts w:hint="eastAsia" w:ascii="微软雅黑" w:hAnsi="微软雅黑" w:eastAsia="微软雅黑" w:cs="微软雅黑"/>
          <w:sz w:val="24"/>
        </w:rPr>
        <w:t>请登陆电子科技大学研究生招生管理信息系统：</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"http://zsgl.uestc.edu.cn/ksxt/login.aspx" </w:instrText>
      </w:r>
      <w:r>
        <w:rPr>
          <w:rFonts w:hint="eastAsia" w:ascii="微软雅黑" w:hAnsi="微软雅黑" w:eastAsia="微软雅黑" w:cs="微软雅黑"/>
        </w:rPr>
        <w:fldChar w:fldCharType="separate"/>
      </w:r>
      <w:r>
        <w:rPr>
          <w:rFonts w:hint="eastAsia" w:ascii="微软雅黑" w:hAnsi="微软雅黑" w:eastAsia="微软雅黑" w:cs="微软雅黑"/>
          <w:sz w:val="24"/>
        </w:rPr>
        <w:t>http://zsgl.uestc.edu.cn/ksxt/login.aspx</w:t>
      </w:r>
      <w:r>
        <w:rPr>
          <w:rFonts w:hint="eastAsia" w:ascii="微软雅黑" w:hAnsi="微软雅黑" w:eastAsia="微软雅黑" w:cs="微软雅黑"/>
          <w:sz w:val="24"/>
        </w:rPr>
        <w:fldChar w:fldCharType="end"/>
      </w:r>
      <w:r>
        <w:rPr>
          <w:rFonts w:hint="eastAsia" w:ascii="微软雅黑" w:hAnsi="微软雅黑" w:eastAsia="微软雅黑" w:cs="微软雅黑"/>
          <w:sz w:val="24"/>
        </w:rPr>
        <w:t>，选择“复试信息”模块进行复试，系统使用说明见网上通知。</w:t>
      </w:r>
    </w:p>
    <w:p>
      <w:pPr>
        <w:widowControl/>
        <w:numPr>
          <w:ilvl w:val="0"/>
          <w:numId w:val="1"/>
        </w:numPr>
        <w:spacing w:line="420" w:lineRule="exact"/>
        <w:ind w:firstLine="420"/>
        <w:jc w:val="left"/>
        <w:rPr>
          <w:rFonts w:hint="eastAsia" w:ascii="微软雅黑" w:hAnsi="微软雅黑" w:eastAsia="微软雅黑" w:cs="微软雅黑"/>
          <w:kern w:val="0"/>
          <w:sz w:val="24"/>
        </w:rPr>
      </w:pPr>
      <w:r>
        <w:rPr>
          <w:rFonts w:hint="eastAsia" w:ascii="微软雅黑" w:hAnsi="微软雅黑" w:eastAsia="微软雅黑" w:cs="微软雅黑"/>
          <w:sz w:val="24"/>
        </w:rPr>
        <w:t>考生网上交复试费</w:t>
      </w:r>
      <w:r>
        <w:rPr>
          <w:rFonts w:hint="eastAsia" w:ascii="微软雅黑" w:hAnsi="微软雅黑" w:eastAsia="微软雅黑" w:cs="微软雅黑"/>
          <w:kern w:val="0"/>
          <w:sz w:val="24"/>
        </w:rPr>
        <w:t>120元，并打印复试通知单，学院不再另行寄发。</w:t>
      </w:r>
    </w:p>
    <w:p>
      <w:pPr>
        <w:widowControl/>
        <w:numPr>
          <w:ilvl w:val="0"/>
          <w:numId w:val="1"/>
        </w:numPr>
        <w:spacing w:line="420" w:lineRule="exact"/>
        <w:ind w:firstLine="42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体检统一在新生入学报到时进行。</w:t>
      </w:r>
    </w:p>
    <w:p>
      <w:pPr>
        <w:widowControl/>
        <w:numPr>
          <w:ilvl w:val="0"/>
          <w:numId w:val="1"/>
        </w:numPr>
        <w:spacing w:line="420" w:lineRule="exact"/>
        <w:ind w:firstLine="42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复试信息以研究生招生管理信息系统为准，学院不单独公布复试名单。</w:t>
      </w:r>
    </w:p>
    <w:p>
      <w:pPr>
        <w:widowControl/>
        <w:numPr>
          <w:ilvl w:val="0"/>
          <w:numId w:val="1"/>
        </w:numPr>
        <w:spacing w:line="420" w:lineRule="exact"/>
        <w:ind w:firstLine="42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参加“大学生志愿服务西部计划”、“三支一扶计划”、“赴外汉语教师志愿者”、“选聘高校毕业生到村任职”或“农村义务教育阶段学校教师特设岗位计划”等项目的考生、高校学生应征入伍服义务兵役退役的考生等须在复试前到研招办进行资格审查，否则视为自动放弃。</w:t>
      </w:r>
    </w:p>
    <w:p>
      <w:pPr>
        <w:widowControl/>
        <w:numPr>
          <w:ilvl w:val="0"/>
          <w:numId w:val="1"/>
        </w:numPr>
        <w:spacing w:line="420" w:lineRule="exact"/>
        <w:ind w:firstLine="42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达到复试分数线、尚未填写导师信息或需要更改导师信息的考生，请电话联系学院研究生科申请办理（电话：61831372），并在资格审查时确认。</w:t>
      </w:r>
    </w:p>
    <w:p>
      <w:pPr>
        <w:widowControl/>
        <w:spacing w:beforeLines="50" w:line="420" w:lineRule="exact"/>
        <w:ind w:firstLine="482" w:firstLineChars="200"/>
        <w:jc w:val="left"/>
        <w:rPr>
          <w:rFonts w:hint="eastAsia" w:ascii="微软雅黑" w:hAnsi="微软雅黑" w:eastAsia="微软雅黑" w:cs="微软雅黑"/>
          <w:b/>
          <w:kern w:val="0"/>
          <w:sz w:val="24"/>
        </w:rPr>
      </w:pPr>
      <w:r>
        <w:rPr>
          <w:rFonts w:hint="eastAsia" w:ascii="微软雅黑" w:hAnsi="微软雅黑" w:eastAsia="微软雅黑" w:cs="微软雅黑"/>
          <w:b/>
          <w:kern w:val="0"/>
          <w:sz w:val="24"/>
        </w:rPr>
        <w:t>三、关于调剂</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我院各专业均不接受校外及院外调剂生。</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报考第一志愿为政管学院的考生，如需调剂到外院及外校，请联系政管学院研究生科办理。</w:t>
      </w:r>
    </w:p>
    <w:p>
      <w:pPr>
        <w:widowControl/>
        <w:spacing w:beforeLines="50" w:line="420" w:lineRule="exact"/>
        <w:ind w:firstLine="482" w:firstLineChars="200"/>
        <w:jc w:val="left"/>
        <w:rPr>
          <w:rFonts w:hint="eastAsia" w:ascii="微软雅黑" w:hAnsi="微软雅黑" w:eastAsia="微软雅黑" w:cs="微软雅黑"/>
          <w:b/>
          <w:kern w:val="0"/>
          <w:sz w:val="24"/>
        </w:rPr>
      </w:pPr>
      <w:r>
        <w:rPr>
          <w:rFonts w:hint="eastAsia" w:ascii="微软雅黑" w:hAnsi="微软雅黑" w:eastAsia="微软雅黑" w:cs="微软雅黑"/>
          <w:b/>
          <w:kern w:val="0"/>
          <w:sz w:val="24"/>
        </w:rPr>
        <w:t>四、复试程序</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（一）资格审查</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考生请在3月10日—3月14日上班时间（工作日9:00-12:00，13:00-17:00）到政治与公共管理学院研究生科（清水河校区综合楼452）办理复试资格审查手续。请携带以下材料：</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(1)复试通知单2份（一份交学院，一份自存并在专业笔试时出示）</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(2)身份证原件及复印件</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(3)毕业证或学位证原件及复印件（往届生）/ 学生证原件及复印件（应届生）</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（二）专业笔试</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笔试科目：</w:t>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3"/>
        <w:gridCol w:w="4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235" w:type="dxa"/>
            <w:tcBorders>
              <w:top w:val="threeDEngrave" w:color="auto" w:sz="12" w:space="0"/>
              <w:left w:val="single" w:color="auto" w:sz="4" w:space="0"/>
              <w:bottom w:val="threeDEmboss" w:color="auto" w:sz="12" w:space="0"/>
              <w:right w:val="single" w:color="auto" w:sz="4" w:space="0"/>
            </w:tcBorders>
            <w:shd w:val="clear" w:color="auto" w:fill="E4E4E4"/>
            <w:vAlign w:val="center"/>
          </w:tcPr>
          <w:p>
            <w:pPr>
              <w:widowControl/>
              <w:spacing w:line="300" w:lineRule="atLeast"/>
              <w:jc w:val="center"/>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专 业</w:t>
            </w:r>
          </w:p>
        </w:tc>
        <w:tc>
          <w:tcPr>
            <w:tcW w:w="2553" w:type="dxa"/>
            <w:tcBorders>
              <w:top w:val="threeDEngrave" w:color="auto" w:sz="12" w:space="0"/>
              <w:left w:val="single" w:color="auto" w:sz="4" w:space="0"/>
              <w:bottom w:val="threeDEmboss" w:color="auto" w:sz="12" w:space="0"/>
              <w:right w:val="single" w:color="auto" w:sz="4" w:space="0"/>
            </w:tcBorders>
            <w:shd w:val="clear" w:color="auto" w:fill="E4E4E4"/>
            <w:vAlign w:val="center"/>
          </w:tcPr>
          <w:p>
            <w:pPr>
              <w:widowControl/>
              <w:spacing w:line="300" w:lineRule="atLeast"/>
              <w:jc w:val="center"/>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笔试科目</w:t>
            </w:r>
          </w:p>
        </w:tc>
        <w:tc>
          <w:tcPr>
            <w:tcW w:w="4109" w:type="dxa"/>
            <w:tcBorders>
              <w:top w:val="threeDEngrave" w:color="auto" w:sz="12" w:space="0"/>
              <w:left w:val="single" w:color="auto" w:sz="4" w:space="0"/>
              <w:bottom w:val="threeDEmboss" w:color="auto" w:sz="12" w:space="0"/>
              <w:right w:val="single" w:color="auto" w:sz="4" w:space="0"/>
            </w:tcBorders>
            <w:shd w:val="clear" w:color="auto" w:fill="E4E4E4"/>
            <w:vAlign w:val="center"/>
          </w:tcPr>
          <w:p>
            <w:pPr>
              <w:widowControl/>
              <w:spacing w:line="300" w:lineRule="atLeast"/>
              <w:jc w:val="center"/>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235" w:type="dxa"/>
            <w:tcBorders>
              <w:top w:val="threeDEmboss" w:color="auto" w:sz="12" w:space="0"/>
              <w:left w:val="single" w:color="auto" w:sz="4" w:space="0"/>
              <w:bottom w:val="single" w:color="auto" w:sz="4" w:space="0"/>
              <w:right w:val="single" w:color="auto" w:sz="4" w:space="0"/>
            </w:tcBorders>
            <w:shd w:val="clear" w:color="auto" w:fill="FDFDFD"/>
            <w:vAlign w:val="center"/>
          </w:tcPr>
          <w:p>
            <w:pPr>
              <w:widowControl/>
              <w:spacing w:line="300" w:lineRule="atLeast"/>
              <w:rPr>
                <w:rFonts w:hint="eastAsia" w:ascii="微软雅黑" w:hAnsi="微软雅黑" w:eastAsia="微软雅黑" w:cs="微软雅黑"/>
                <w:kern w:val="0"/>
                <w:szCs w:val="21"/>
              </w:rPr>
            </w:pPr>
            <w:r>
              <w:rPr>
                <w:rFonts w:hint="eastAsia" w:ascii="微软雅黑" w:hAnsi="微软雅黑" w:eastAsia="微软雅黑" w:cs="微软雅黑"/>
                <w:kern w:val="0"/>
                <w:szCs w:val="21"/>
              </w:rPr>
              <w:t>公共管理</w:t>
            </w:r>
          </w:p>
        </w:tc>
        <w:tc>
          <w:tcPr>
            <w:tcW w:w="2553" w:type="dxa"/>
            <w:tcBorders>
              <w:top w:val="threeDEmboss" w:color="auto" w:sz="12" w:space="0"/>
              <w:left w:val="single" w:color="auto" w:sz="4" w:space="0"/>
              <w:bottom w:val="single" w:color="auto" w:sz="4" w:space="0"/>
              <w:right w:val="single" w:color="auto" w:sz="4" w:space="0"/>
            </w:tcBorders>
            <w:shd w:val="clear" w:color="auto" w:fill="FDFDFD"/>
            <w:vAlign w:val="center"/>
          </w:tcPr>
          <w:p>
            <w:pPr>
              <w:widowControl/>
              <w:spacing w:line="300" w:lineRule="atLeast"/>
              <w:jc w:val="center"/>
              <w:rPr>
                <w:rFonts w:hint="eastAsia" w:ascii="微软雅黑" w:hAnsi="微软雅黑" w:eastAsia="微软雅黑" w:cs="微软雅黑"/>
                <w:b/>
                <w:kern w:val="0"/>
                <w:szCs w:val="21"/>
              </w:rPr>
            </w:pPr>
            <w:r>
              <w:rPr>
                <w:rFonts w:hint="eastAsia" w:ascii="微软雅黑" w:hAnsi="微软雅黑" w:eastAsia="微软雅黑" w:cs="微软雅黑"/>
                <w:b/>
                <w:kern w:val="0"/>
                <w:szCs w:val="21"/>
              </w:rPr>
              <w:t>政治学</w:t>
            </w:r>
          </w:p>
        </w:tc>
        <w:tc>
          <w:tcPr>
            <w:tcW w:w="4109" w:type="dxa"/>
            <w:tcBorders>
              <w:top w:val="threeDEmboss" w:color="auto" w:sz="12" w:space="0"/>
              <w:left w:val="single" w:color="auto" w:sz="4" w:space="0"/>
              <w:bottom w:val="single" w:color="auto" w:sz="4" w:space="0"/>
              <w:right w:val="single" w:color="auto" w:sz="4" w:space="0"/>
            </w:tcBorders>
            <w:shd w:val="clear" w:color="auto" w:fill="FDFDFD"/>
          </w:tcPr>
          <w:p>
            <w:pPr>
              <w:widowControl/>
              <w:spacing w:line="300" w:lineRule="atLeast"/>
              <w:jc w:val="left"/>
              <w:rPr>
                <w:rFonts w:hint="eastAsia" w:ascii="微软雅黑" w:hAnsi="微软雅黑" w:eastAsia="微软雅黑" w:cs="微软雅黑"/>
                <w:kern w:val="0"/>
                <w:sz w:val="20"/>
                <w:szCs w:val="21"/>
              </w:rPr>
            </w:pPr>
            <w:r>
              <w:rPr>
                <w:rFonts w:hint="eastAsia" w:ascii="微软雅黑" w:hAnsi="微软雅黑" w:eastAsia="微软雅黑" w:cs="微软雅黑"/>
                <w:kern w:val="0"/>
                <w:sz w:val="20"/>
                <w:szCs w:val="21"/>
              </w:rPr>
              <w:t>《新政治学概要》(第2版) 王邦佐、王沪宁 复旦大学出版社 (2011-12出版)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235" w:type="dxa"/>
            <w:tcBorders>
              <w:top w:val="single" w:color="auto" w:sz="4" w:space="0"/>
              <w:left w:val="single" w:color="auto" w:sz="4" w:space="0"/>
              <w:bottom w:val="single" w:color="auto" w:sz="4" w:space="0"/>
              <w:right w:val="single" w:color="auto" w:sz="4" w:space="0"/>
            </w:tcBorders>
            <w:shd w:val="clear" w:color="auto" w:fill="FDFDFD"/>
            <w:vAlign w:val="center"/>
          </w:tcPr>
          <w:p>
            <w:pPr>
              <w:widowControl/>
              <w:spacing w:line="300" w:lineRule="atLeast"/>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新闻传播学</w:t>
            </w:r>
          </w:p>
        </w:tc>
        <w:tc>
          <w:tcPr>
            <w:tcW w:w="2553" w:type="dxa"/>
            <w:tcBorders>
              <w:top w:val="single" w:color="auto" w:sz="4" w:space="0"/>
              <w:left w:val="single" w:color="auto" w:sz="4" w:space="0"/>
              <w:bottom w:val="single" w:color="auto" w:sz="4" w:space="0"/>
              <w:right w:val="single" w:color="auto" w:sz="4" w:space="0"/>
            </w:tcBorders>
            <w:shd w:val="clear" w:color="auto" w:fill="FDFDFD"/>
            <w:vAlign w:val="center"/>
          </w:tcPr>
          <w:p>
            <w:pPr>
              <w:widowControl/>
              <w:spacing w:line="300" w:lineRule="atLeast"/>
              <w:jc w:val="center"/>
              <w:rPr>
                <w:rFonts w:hint="eastAsia" w:ascii="微软雅黑" w:hAnsi="微软雅黑" w:eastAsia="微软雅黑" w:cs="微软雅黑"/>
                <w:b/>
                <w:kern w:val="0"/>
                <w:szCs w:val="21"/>
              </w:rPr>
            </w:pPr>
            <w:r>
              <w:rPr>
                <w:rFonts w:hint="eastAsia" w:ascii="微软雅黑" w:hAnsi="微软雅黑" w:eastAsia="微软雅黑" w:cs="微软雅黑"/>
                <w:b/>
                <w:kern w:val="0"/>
                <w:szCs w:val="21"/>
              </w:rPr>
              <w:t>新闻传播史</w:t>
            </w:r>
          </w:p>
        </w:tc>
        <w:tc>
          <w:tcPr>
            <w:tcW w:w="4109" w:type="dxa"/>
            <w:tcBorders>
              <w:top w:val="single" w:color="auto" w:sz="4" w:space="0"/>
              <w:left w:val="single" w:color="auto" w:sz="4" w:space="0"/>
              <w:bottom w:val="single" w:color="auto" w:sz="4" w:space="0"/>
              <w:right w:val="single" w:color="auto" w:sz="4" w:space="0"/>
            </w:tcBorders>
            <w:shd w:val="clear" w:color="auto" w:fill="FDFDFD"/>
          </w:tcPr>
          <w:p>
            <w:pPr>
              <w:widowControl/>
              <w:spacing w:line="300" w:lineRule="atLeast"/>
              <w:jc w:val="left"/>
              <w:rPr>
                <w:rFonts w:hint="eastAsia" w:ascii="微软雅黑" w:hAnsi="微软雅黑" w:eastAsia="微软雅黑" w:cs="微软雅黑"/>
                <w:kern w:val="0"/>
                <w:sz w:val="20"/>
                <w:szCs w:val="21"/>
              </w:rPr>
            </w:pPr>
            <w:r>
              <w:rPr>
                <w:rFonts w:hint="eastAsia" w:ascii="微软雅黑" w:hAnsi="微软雅黑" w:eastAsia="微软雅黑" w:cs="微软雅黑"/>
                <w:kern w:val="0"/>
                <w:sz w:val="20"/>
                <w:szCs w:val="21"/>
              </w:rPr>
              <w:t>《中国新闻传播史》(第2版) 方汉奇 中国人民大学出版社 (2009-06出版)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235" w:type="dxa"/>
            <w:tcBorders>
              <w:top w:val="single" w:color="auto" w:sz="4" w:space="0"/>
              <w:left w:val="single" w:color="auto" w:sz="4" w:space="0"/>
              <w:bottom w:val="single" w:color="auto" w:sz="4" w:space="0"/>
              <w:right w:val="single" w:color="auto" w:sz="4" w:space="0"/>
            </w:tcBorders>
            <w:shd w:val="clear" w:color="auto" w:fill="FDFDFD"/>
            <w:vAlign w:val="center"/>
          </w:tcPr>
          <w:p>
            <w:pPr>
              <w:widowControl/>
              <w:spacing w:line="300" w:lineRule="atLeast"/>
              <w:rPr>
                <w:rFonts w:hint="eastAsia" w:ascii="微软雅黑" w:hAnsi="微软雅黑" w:eastAsia="微软雅黑" w:cs="微软雅黑"/>
                <w:kern w:val="0"/>
                <w:szCs w:val="21"/>
              </w:rPr>
            </w:pPr>
            <w:r>
              <w:rPr>
                <w:rFonts w:hint="eastAsia" w:ascii="微软雅黑" w:hAnsi="微软雅黑" w:eastAsia="微软雅黑" w:cs="微软雅黑"/>
                <w:kern w:val="0"/>
                <w:szCs w:val="21"/>
              </w:rPr>
              <w:t>宪法学与行政法学</w:t>
            </w:r>
          </w:p>
        </w:tc>
        <w:tc>
          <w:tcPr>
            <w:tcW w:w="2553" w:type="dxa"/>
            <w:tcBorders>
              <w:top w:val="single" w:color="auto" w:sz="4" w:space="0"/>
              <w:left w:val="single" w:color="auto" w:sz="4" w:space="0"/>
              <w:bottom w:val="single" w:color="auto" w:sz="4" w:space="0"/>
              <w:right w:val="single" w:color="auto" w:sz="4" w:space="0"/>
            </w:tcBorders>
            <w:shd w:val="clear" w:color="auto" w:fill="FDFDFD"/>
            <w:vAlign w:val="center"/>
          </w:tcPr>
          <w:p>
            <w:pPr>
              <w:widowControl/>
              <w:spacing w:line="300" w:lineRule="atLeast"/>
              <w:jc w:val="center"/>
              <w:rPr>
                <w:rFonts w:hint="eastAsia" w:ascii="微软雅黑" w:hAnsi="微软雅黑" w:eastAsia="微软雅黑" w:cs="微软雅黑"/>
                <w:b/>
                <w:kern w:val="0"/>
                <w:szCs w:val="21"/>
              </w:rPr>
            </w:pPr>
            <w:r>
              <w:rPr>
                <w:rFonts w:hint="eastAsia" w:ascii="微软雅黑" w:hAnsi="微软雅黑" w:eastAsia="微软雅黑" w:cs="微软雅黑"/>
                <w:b/>
                <w:kern w:val="0"/>
                <w:szCs w:val="21"/>
              </w:rPr>
              <w:t>法理学</w:t>
            </w:r>
          </w:p>
        </w:tc>
        <w:tc>
          <w:tcPr>
            <w:tcW w:w="4109" w:type="dxa"/>
            <w:tcBorders>
              <w:top w:val="single" w:color="auto" w:sz="4" w:space="0"/>
              <w:left w:val="single" w:color="auto" w:sz="4" w:space="0"/>
              <w:bottom w:val="single" w:color="auto" w:sz="4" w:space="0"/>
              <w:right w:val="single" w:color="auto" w:sz="4" w:space="0"/>
            </w:tcBorders>
            <w:shd w:val="clear" w:color="auto" w:fill="FDFDFD"/>
          </w:tcPr>
          <w:p>
            <w:pPr>
              <w:widowControl/>
              <w:spacing w:line="300" w:lineRule="atLeast"/>
              <w:jc w:val="left"/>
              <w:rPr>
                <w:rFonts w:hint="eastAsia" w:ascii="微软雅黑" w:hAnsi="微软雅黑" w:eastAsia="微软雅黑" w:cs="微软雅黑"/>
                <w:kern w:val="0"/>
                <w:sz w:val="20"/>
                <w:szCs w:val="21"/>
              </w:rPr>
            </w:pPr>
            <w:r>
              <w:rPr>
                <w:rFonts w:hint="eastAsia" w:ascii="微软雅黑" w:hAnsi="微软雅黑" w:eastAsia="微软雅黑" w:cs="微软雅黑"/>
                <w:kern w:val="0"/>
                <w:sz w:val="20"/>
                <w:szCs w:val="21"/>
              </w:rPr>
              <w:t>《法理学》(第4版) 张文显 高等教育出版社,北京大学出版社 (2011-06出版)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235" w:type="dxa"/>
            <w:tcBorders>
              <w:top w:val="single" w:color="auto" w:sz="4" w:space="0"/>
              <w:left w:val="single" w:color="auto" w:sz="4" w:space="0"/>
              <w:bottom w:val="single" w:color="auto" w:sz="4" w:space="0"/>
              <w:right w:val="single" w:color="auto" w:sz="4" w:space="0"/>
            </w:tcBorders>
            <w:shd w:val="clear" w:color="auto" w:fill="FDFDFD"/>
            <w:vAlign w:val="center"/>
          </w:tcPr>
          <w:p>
            <w:pPr>
              <w:widowControl/>
              <w:spacing w:line="300" w:lineRule="atLeast"/>
              <w:rPr>
                <w:rFonts w:hint="eastAsia" w:ascii="微软雅黑" w:hAnsi="微软雅黑" w:eastAsia="微软雅黑" w:cs="微软雅黑"/>
                <w:kern w:val="0"/>
                <w:szCs w:val="21"/>
              </w:rPr>
            </w:pPr>
            <w:r>
              <w:rPr>
                <w:rFonts w:hint="eastAsia" w:ascii="微软雅黑" w:hAnsi="微软雅黑" w:eastAsia="微软雅黑" w:cs="微软雅黑"/>
                <w:kern w:val="0"/>
                <w:szCs w:val="21"/>
              </w:rPr>
              <w:t>应用心理学</w:t>
            </w:r>
          </w:p>
        </w:tc>
        <w:tc>
          <w:tcPr>
            <w:tcW w:w="2553" w:type="dxa"/>
            <w:tcBorders>
              <w:top w:val="single" w:color="auto" w:sz="4" w:space="0"/>
              <w:left w:val="single" w:color="auto" w:sz="4" w:space="0"/>
              <w:bottom w:val="single" w:color="auto" w:sz="4" w:space="0"/>
              <w:right w:val="single" w:color="auto" w:sz="4" w:space="0"/>
            </w:tcBorders>
            <w:shd w:val="clear" w:color="auto" w:fill="FDFDFD"/>
            <w:vAlign w:val="center"/>
          </w:tcPr>
          <w:p>
            <w:pPr>
              <w:widowControl/>
              <w:spacing w:line="300" w:lineRule="atLeast"/>
              <w:ind w:right="-105" w:rightChars="-50"/>
              <w:jc w:val="center"/>
              <w:rPr>
                <w:rFonts w:hint="eastAsia" w:ascii="微软雅黑" w:hAnsi="微软雅黑" w:eastAsia="微软雅黑" w:cs="微软雅黑"/>
                <w:b/>
                <w:kern w:val="0"/>
                <w:szCs w:val="21"/>
              </w:rPr>
            </w:pPr>
            <w:r>
              <w:rPr>
                <w:rFonts w:hint="eastAsia" w:ascii="微软雅黑" w:hAnsi="微软雅黑" w:eastAsia="微软雅黑" w:cs="微软雅黑"/>
                <w:b/>
                <w:kern w:val="0"/>
                <w:szCs w:val="21"/>
              </w:rPr>
              <w:t>人格心理学与心理咨询</w:t>
            </w:r>
          </w:p>
        </w:tc>
        <w:tc>
          <w:tcPr>
            <w:tcW w:w="4109" w:type="dxa"/>
            <w:tcBorders>
              <w:top w:val="single" w:color="auto" w:sz="4" w:space="0"/>
              <w:left w:val="single" w:color="auto" w:sz="4" w:space="0"/>
              <w:bottom w:val="single" w:color="auto" w:sz="4" w:space="0"/>
              <w:right w:val="single" w:color="auto" w:sz="4" w:space="0"/>
            </w:tcBorders>
            <w:shd w:val="clear" w:color="auto" w:fill="FDFDFD"/>
          </w:tcPr>
          <w:p>
            <w:pPr>
              <w:widowControl/>
              <w:spacing w:line="300" w:lineRule="atLeast"/>
              <w:jc w:val="left"/>
              <w:rPr>
                <w:rFonts w:hint="eastAsia" w:ascii="微软雅黑" w:hAnsi="微软雅黑" w:eastAsia="微软雅黑" w:cs="微软雅黑"/>
                <w:kern w:val="0"/>
                <w:sz w:val="20"/>
                <w:szCs w:val="21"/>
              </w:rPr>
            </w:pPr>
            <w:r>
              <w:rPr>
                <w:rFonts w:hint="eastAsia" w:ascii="微软雅黑" w:hAnsi="微软雅黑" w:eastAsia="微软雅黑" w:cs="微软雅黑"/>
                <w:kern w:val="0"/>
                <w:sz w:val="20"/>
                <w:szCs w:val="21"/>
              </w:rPr>
              <w:t>《人格心理学》（第八版）</w:t>
            </w:r>
          </w:p>
          <w:p>
            <w:pPr>
              <w:widowControl/>
              <w:spacing w:line="300" w:lineRule="atLeast"/>
              <w:jc w:val="left"/>
              <w:rPr>
                <w:rFonts w:hint="eastAsia" w:ascii="微软雅黑" w:hAnsi="微软雅黑" w:eastAsia="微软雅黑" w:cs="微软雅黑"/>
                <w:kern w:val="0"/>
                <w:sz w:val="20"/>
                <w:szCs w:val="21"/>
              </w:rPr>
            </w:pPr>
            <w:r>
              <w:rPr>
                <w:rFonts w:hint="eastAsia" w:ascii="微软雅黑" w:hAnsi="微软雅黑" w:eastAsia="微软雅黑" w:cs="微软雅黑"/>
                <w:kern w:val="0"/>
                <w:sz w:val="20"/>
                <w:szCs w:val="21"/>
              </w:rPr>
              <w:t>（美）伯格（Burger, J. M.）著，陈会昌译.北京:中国轻工业出版社，2014年9月</w:t>
            </w:r>
          </w:p>
          <w:p>
            <w:pPr>
              <w:widowControl/>
              <w:spacing w:line="300" w:lineRule="atLeast"/>
              <w:jc w:val="left"/>
              <w:rPr>
                <w:rFonts w:hint="eastAsia" w:ascii="微软雅黑" w:hAnsi="微软雅黑" w:eastAsia="微软雅黑" w:cs="微软雅黑"/>
                <w:kern w:val="0"/>
                <w:sz w:val="20"/>
                <w:szCs w:val="21"/>
              </w:rPr>
            </w:pPr>
            <w:r>
              <w:rPr>
                <w:rFonts w:hint="eastAsia" w:ascii="微软雅黑" w:hAnsi="微软雅黑" w:eastAsia="微软雅黑" w:cs="微软雅黑"/>
                <w:kern w:val="0"/>
                <w:sz w:val="20"/>
                <w:szCs w:val="21"/>
              </w:rPr>
              <w:t>《心理咨询与治疗》江光荣 安徽人民出版社2001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2235" w:type="dxa"/>
            <w:tcBorders>
              <w:top w:val="single" w:color="auto" w:sz="4" w:space="0"/>
              <w:left w:val="single" w:color="auto" w:sz="4" w:space="0"/>
              <w:bottom w:val="single" w:color="auto" w:sz="4" w:space="0"/>
              <w:right w:val="single" w:color="auto" w:sz="4" w:space="0"/>
            </w:tcBorders>
            <w:shd w:val="clear" w:color="auto" w:fill="FDFDFD"/>
            <w:vAlign w:val="center"/>
          </w:tcPr>
          <w:p>
            <w:pPr>
              <w:widowControl/>
              <w:spacing w:line="300" w:lineRule="atLeast"/>
              <w:rPr>
                <w:rFonts w:hint="eastAsia" w:ascii="微软雅黑" w:hAnsi="微软雅黑" w:eastAsia="微软雅黑" w:cs="微软雅黑"/>
                <w:kern w:val="0"/>
                <w:szCs w:val="21"/>
              </w:rPr>
            </w:pPr>
            <w:r>
              <w:rPr>
                <w:rFonts w:hint="eastAsia" w:ascii="微软雅黑" w:hAnsi="微软雅黑" w:eastAsia="微软雅黑" w:cs="微软雅黑"/>
                <w:kern w:val="0"/>
                <w:szCs w:val="21"/>
              </w:rPr>
              <w:t>新闻与传播硕士</w:t>
            </w:r>
          </w:p>
        </w:tc>
        <w:tc>
          <w:tcPr>
            <w:tcW w:w="2553" w:type="dxa"/>
            <w:tcBorders>
              <w:top w:val="single" w:color="auto" w:sz="4" w:space="0"/>
              <w:left w:val="single" w:color="auto" w:sz="4" w:space="0"/>
              <w:bottom w:val="single" w:color="auto" w:sz="4" w:space="0"/>
              <w:right w:val="single" w:color="auto" w:sz="4" w:space="0"/>
            </w:tcBorders>
            <w:shd w:val="clear" w:color="auto" w:fill="FDFDFD"/>
            <w:vAlign w:val="center"/>
          </w:tcPr>
          <w:p>
            <w:pPr>
              <w:widowControl/>
              <w:spacing w:line="300" w:lineRule="atLeast"/>
              <w:jc w:val="center"/>
              <w:rPr>
                <w:rFonts w:hint="eastAsia" w:ascii="微软雅黑" w:hAnsi="微软雅黑" w:eastAsia="微软雅黑" w:cs="微软雅黑"/>
                <w:b/>
                <w:kern w:val="0"/>
                <w:szCs w:val="21"/>
              </w:rPr>
            </w:pPr>
            <w:r>
              <w:rPr>
                <w:rFonts w:hint="eastAsia" w:ascii="微软雅黑" w:hAnsi="微软雅黑" w:eastAsia="微软雅黑" w:cs="微软雅黑"/>
                <w:b/>
                <w:kern w:val="0"/>
                <w:szCs w:val="21"/>
              </w:rPr>
              <w:t>新闻传播史</w:t>
            </w:r>
          </w:p>
        </w:tc>
        <w:tc>
          <w:tcPr>
            <w:tcW w:w="4109" w:type="dxa"/>
            <w:tcBorders>
              <w:top w:val="single" w:color="auto" w:sz="4" w:space="0"/>
              <w:left w:val="single" w:color="auto" w:sz="4" w:space="0"/>
              <w:bottom w:val="single" w:color="auto" w:sz="4" w:space="0"/>
              <w:right w:val="single" w:color="auto" w:sz="4" w:space="0"/>
            </w:tcBorders>
            <w:shd w:val="clear" w:color="auto" w:fill="FDFDFD"/>
          </w:tcPr>
          <w:p>
            <w:pPr>
              <w:widowControl/>
              <w:spacing w:line="300" w:lineRule="atLeast"/>
              <w:jc w:val="left"/>
              <w:rPr>
                <w:rFonts w:hint="eastAsia" w:ascii="微软雅黑" w:hAnsi="微软雅黑" w:eastAsia="微软雅黑" w:cs="微软雅黑"/>
                <w:kern w:val="0"/>
                <w:sz w:val="20"/>
                <w:szCs w:val="21"/>
              </w:rPr>
            </w:pPr>
            <w:r>
              <w:rPr>
                <w:rFonts w:hint="eastAsia" w:ascii="微软雅黑" w:hAnsi="微软雅黑" w:eastAsia="微软雅黑" w:cs="微软雅黑"/>
                <w:kern w:val="0"/>
                <w:sz w:val="20"/>
                <w:szCs w:val="18"/>
              </w:rPr>
              <w:t>《中国新闻传播史》(第2版) 方汉奇 中国人民大学出版社(2009-06出版)</w:t>
            </w:r>
          </w:p>
        </w:tc>
      </w:tr>
    </w:tbl>
    <w:p>
      <w:pPr>
        <w:widowControl/>
        <w:spacing w:line="420" w:lineRule="exact"/>
        <w:ind w:firstLine="480" w:firstLineChars="200"/>
        <w:jc w:val="left"/>
        <w:rPr>
          <w:rFonts w:hint="eastAsia" w:ascii="微软雅黑" w:hAnsi="微软雅黑" w:eastAsia="微软雅黑" w:cs="微软雅黑"/>
          <w:kern w:val="0"/>
          <w:sz w:val="24"/>
        </w:rPr>
      </w:pPr>
      <w:bookmarkStart w:id="0" w:name="_GoBack"/>
      <w:r>
        <w:rPr>
          <w:rFonts w:hint="eastAsia" w:ascii="微软雅黑" w:hAnsi="微软雅黑" w:eastAsia="微软雅黑" w:cs="微软雅黑"/>
          <w:kern w:val="0"/>
          <w:sz w:val="24"/>
        </w:rPr>
        <w:t>考试方式：闭卷</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笔试总分：200分</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笔试时间：3月16日上午9:30－11:30</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笔试地点：①清水河校区</w:t>
      </w:r>
      <w:r>
        <w:rPr>
          <w:rFonts w:hint="eastAsia" w:ascii="微软雅黑" w:hAnsi="微软雅黑" w:eastAsia="微软雅黑" w:cs="微软雅黑"/>
          <w:b/>
          <w:kern w:val="0"/>
          <w:sz w:val="24"/>
        </w:rPr>
        <w:t>品学楼B314</w:t>
      </w:r>
      <w:r>
        <w:rPr>
          <w:rFonts w:hint="eastAsia" w:ascii="微软雅黑" w:hAnsi="微软雅黑" w:eastAsia="微软雅黑" w:cs="微软雅黑"/>
          <w:kern w:val="0"/>
          <w:sz w:val="24"/>
        </w:rPr>
        <w:t>（公共管理专业）、品学楼</w:t>
      </w:r>
      <w:r>
        <w:rPr>
          <w:rFonts w:hint="eastAsia" w:ascii="微软雅黑" w:hAnsi="微软雅黑" w:eastAsia="微软雅黑" w:cs="微软雅黑"/>
          <w:b/>
          <w:kern w:val="0"/>
          <w:sz w:val="24"/>
        </w:rPr>
        <w:t>B311</w:t>
      </w:r>
      <w:r>
        <w:rPr>
          <w:rFonts w:hint="eastAsia" w:ascii="微软雅黑" w:hAnsi="微软雅黑" w:eastAsia="微软雅黑" w:cs="微软雅黑"/>
          <w:kern w:val="0"/>
          <w:sz w:val="24"/>
        </w:rPr>
        <w:t>（应用心理学、宪法与行政法学、新闻传播学、新闻与传播专业）</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请考生带身份证及复试通知单到笔试地点参加笔试，请按照座签就坐。</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（三）综合面试</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面试总分：200分</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面试时间：3月16日下午13:00开始，每人不少于15分钟</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面试地点：清水河校区</w:t>
      </w:r>
      <w:r>
        <w:rPr>
          <w:rFonts w:hint="eastAsia" w:ascii="微软雅黑" w:hAnsi="微软雅黑" w:eastAsia="微软雅黑" w:cs="微软雅黑"/>
          <w:b/>
          <w:kern w:val="0"/>
          <w:sz w:val="24"/>
        </w:rPr>
        <w:t>品学楼B313</w:t>
      </w:r>
      <w:r>
        <w:rPr>
          <w:rFonts w:hint="eastAsia" w:ascii="微软雅黑" w:hAnsi="微软雅黑" w:eastAsia="微软雅黑" w:cs="微软雅黑"/>
          <w:kern w:val="0"/>
          <w:sz w:val="24"/>
        </w:rPr>
        <w:t>（公共管理专业）、</w:t>
      </w:r>
      <w:r>
        <w:rPr>
          <w:rFonts w:hint="eastAsia" w:ascii="微软雅黑" w:hAnsi="微软雅黑" w:eastAsia="微软雅黑" w:cs="微软雅黑"/>
          <w:b/>
          <w:kern w:val="0"/>
          <w:sz w:val="24"/>
        </w:rPr>
        <w:t>品学楼B312</w:t>
      </w:r>
      <w:r>
        <w:rPr>
          <w:rFonts w:hint="eastAsia" w:ascii="微软雅黑" w:hAnsi="微软雅黑" w:eastAsia="微软雅黑" w:cs="微软雅黑"/>
          <w:kern w:val="0"/>
          <w:sz w:val="24"/>
        </w:rPr>
        <w:t>（应用心理学、宪法与行政法学、新闻传播学、新闻与传播专业）</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请考生尽量于开始时间之前到考场外等候，具体分组安排及面试顺序见现场通知。</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（四）外语面试</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面试总分：100分，其中口语50分、听力50分</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面试时间：3月16日下午13:00开始，每人不少于5分钟</w:t>
      </w:r>
    </w:p>
    <w:p>
      <w:pPr>
        <w:widowControl/>
        <w:spacing w:line="420" w:lineRule="exact"/>
        <w:ind w:firstLine="480" w:firstLineChars="200"/>
        <w:jc w:val="left"/>
        <w:rPr>
          <w:rFonts w:hint="eastAsia" w:ascii="微软雅黑" w:hAnsi="微软雅黑" w:eastAsia="微软雅黑" w:cs="微软雅黑"/>
          <w:b/>
          <w:kern w:val="0"/>
          <w:sz w:val="24"/>
        </w:rPr>
      </w:pPr>
      <w:r>
        <w:rPr>
          <w:rFonts w:hint="eastAsia" w:ascii="微软雅黑" w:hAnsi="微软雅黑" w:eastAsia="微软雅黑" w:cs="微软雅黑"/>
          <w:kern w:val="0"/>
          <w:sz w:val="24"/>
        </w:rPr>
        <w:t>面试地点：清水河校区</w:t>
      </w:r>
      <w:r>
        <w:rPr>
          <w:rFonts w:hint="eastAsia" w:ascii="微软雅黑" w:hAnsi="微软雅黑" w:eastAsia="微软雅黑" w:cs="微软雅黑"/>
          <w:b/>
          <w:kern w:val="0"/>
          <w:sz w:val="24"/>
        </w:rPr>
        <w:t>品学楼B405</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 外语面试不安排顺序，请自觉排队等候，依序进入教室面试。进入后请先报出本人报考专业及姓名。</w:t>
      </w:r>
    </w:p>
    <w:p>
      <w:pPr>
        <w:widowControl/>
        <w:spacing w:beforeLines="50" w:line="420" w:lineRule="exact"/>
        <w:ind w:firstLine="482" w:firstLineChars="200"/>
        <w:jc w:val="left"/>
        <w:rPr>
          <w:rFonts w:hint="eastAsia" w:ascii="微软雅黑" w:hAnsi="微软雅黑" w:eastAsia="微软雅黑" w:cs="微软雅黑"/>
          <w:b/>
          <w:kern w:val="0"/>
          <w:sz w:val="24"/>
        </w:rPr>
      </w:pPr>
      <w:r>
        <w:rPr>
          <w:rFonts w:hint="eastAsia" w:ascii="微软雅黑" w:hAnsi="微软雅黑" w:eastAsia="微软雅黑" w:cs="微软雅黑"/>
          <w:b/>
          <w:kern w:val="0"/>
          <w:sz w:val="24"/>
        </w:rPr>
        <w:t>五、录取原则</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1、成绩构成：</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复试总成绩＝专业笔试成绩(200分)＋综合面试成绩(200分)＋外语面试成绩(100分)</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考研总成绩＝初试总成绩＋复试总成绩</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2、录取标准与顺序</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★录取优先顺序：第一志愿报考—院内调剂。调剂导师不影响录取顺序。</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★在相同顺序级别下，按考生考研总成绩从高到低录取。</w:t>
      </w:r>
    </w:p>
    <w:p>
      <w:pPr>
        <w:widowControl/>
        <w:spacing w:line="420" w:lineRule="exact"/>
        <w:ind w:firstLine="480" w:firstLineChars="200"/>
        <w:jc w:val="left"/>
        <w:rPr>
          <w:rFonts w:hint="eastAsia" w:ascii="微软雅黑" w:hAnsi="微软雅黑" w:eastAsia="微软雅黑" w:cs="微软雅黑"/>
          <w:kern w:val="0"/>
          <w:sz w:val="24"/>
        </w:rPr>
      </w:pPr>
      <w:r>
        <w:rPr>
          <w:rFonts w:hint="eastAsia" w:ascii="微软雅黑" w:hAnsi="微软雅黑" w:eastAsia="微软雅黑" w:cs="微软雅黑"/>
          <w:kern w:val="0"/>
          <w:sz w:val="24"/>
        </w:rPr>
        <w:t>★复试成绩总分、单项均须达到满分的60％，总分或单项不及格者不予录取。</w:t>
      </w:r>
    </w:p>
    <w:p>
      <w:pPr>
        <w:shd w:val="clear" w:color="auto" w:fill="FFFFFF"/>
        <w:spacing w:line="420" w:lineRule="exact"/>
        <w:ind w:firstLine="516" w:firstLineChars="215"/>
        <w:rPr>
          <w:rFonts w:hint="eastAsia" w:ascii="微软雅黑" w:hAnsi="微软雅黑" w:eastAsia="微软雅黑" w:cs="微软雅黑"/>
          <w:kern w:val="0"/>
          <w:sz w:val="24"/>
        </w:rPr>
      </w:pPr>
      <w:r>
        <w:rPr>
          <w:rFonts w:hint="eastAsia" w:ascii="微软雅黑" w:hAnsi="微软雅黑" w:eastAsia="微软雅黑" w:cs="微软雅黑"/>
          <w:kern w:val="0"/>
          <w:sz w:val="24"/>
        </w:rPr>
        <w:t>3、3月21日，研究生院审核公布复试成绩，学院不单独公布，请考生登陆研招网（http://yz.uestc.edu.cn/）查询。</w:t>
      </w:r>
    </w:p>
    <w:p>
      <w:pPr>
        <w:widowControl/>
        <w:spacing w:beforeLines="50" w:line="420" w:lineRule="exact"/>
        <w:ind w:firstLine="482" w:firstLineChars="200"/>
        <w:jc w:val="left"/>
        <w:rPr>
          <w:rFonts w:hint="eastAsia" w:ascii="微软雅黑" w:hAnsi="微软雅黑" w:eastAsia="微软雅黑" w:cs="微软雅黑"/>
          <w:b/>
          <w:kern w:val="0"/>
          <w:sz w:val="24"/>
        </w:rPr>
      </w:pPr>
      <w:r>
        <w:rPr>
          <w:rFonts w:hint="eastAsia" w:ascii="微软雅黑" w:hAnsi="微软雅黑" w:eastAsia="微软雅黑" w:cs="微软雅黑"/>
          <w:b/>
          <w:kern w:val="0"/>
          <w:sz w:val="24"/>
        </w:rPr>
        <w:t>六、复试其他事项按照《电子科技大学2017年全国硕士研究生招生考试复试工作办法》执行。</w:t>
      </w:r>
    </w:p>
    <w:p>
      <w:pPr>
        <w:widowControl/>
        <w:spacing w:beforeLines="50" w:line="420" w:lineRule="exact"/>
        <w:ind w:firstLine="480" w:firstLineChars="200"/>
        <w:jc w:val="right"/>
        <w:rPr>
          <w:rFonts w:hint="eastAsia" w:ascii="微软雅黑" w:hAnsi="微软雅黑" w:eastAsia="微软雅黑" w:cs="微软雅黑"/>
          <w:kern w:val="0"/>
          <w:sz w:val="24"/>
        </w:rPr>
      </w:pPr>
      <w:r>
        <w:rPr>
          <w:rFonts w:hint="eastAsia" w:ascii="微软雅黑" w:hAnsi="微软雅黑" w:eastAsia="微软雅黑" w:cs="微软雅黑"/>
          <w:kern w:val="0"/>
          <w:sz w:val="24"/>
        </w:rPr>
        <w:t>政治与公共管理学院</w:t>
      </w:r>
    </w:p>
    <w:p>
      <w:pPr>
        <w:widowControl/>
        <w:spacing w:line="420" w:lineRule="exact"/>
        <w:ind w:firstLine="480" w:firstLineChars="200"/>
        <w:jc w:val="right"/>
        <w:rPr>
          <w:rFonts w:hint="eastAsia" w:ascii="微软雅黑" w:hAnsi="微软雅黑" w:eastAsia="微软雅黑" w:cs="微软雅黑"/>
          <w:kern w:val="0"/>
          <w:sz w:val="24"/>
        </w:rPr>
      </w:pPr>
      <w:r>
        <w:rPr>
          <w:rFonts w:hint="eastAsia" w:ascii="微软雅黑" w:hAnsi="微软雅黑" w:eastAsia="微软雅黑" w:cs="微软雅黑"/>
          <w:kern w:val="0"/>
          <w:sz w:val="24"/>
        </w:rPr>
        <w:t>二〇一七年三月七日</w:t>
      </w:r>
    </w:p>
    <w:bookmarkEnd w:id="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002ED"/>
    <w:multiLevelType w:val="singleLevel"/>
    <w:tmpl w:val="550002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377"/>
    <w:rsid w:val="0000680E"/>
    <w:rsid w:val="000112EC"/>
    <w:rsid w:val="0001267B"/>
    <w:rsid w:val="00014EE8"/>
    <w:rsid w:val="00022D13"/>
    <w:rsid w:val="00024A73"/>
    <w:rsid w:val="00025AA9"/>
    <w:rsid w:val="0003269C"/>
    <w:rsid w:val="000623CB"/>
    <w:rsid w:val="00077468"/>
    <w:rsid w:val="0008232F"/>
    <w:rsid w:val="00090B5B"/>
    <w:rsid w:val="000A4E43"/>
    <w:rsid w:val="000A4E7E"/>
    <w:rsid w:val="000A66F8"/>
    <w:rsid w:val="000B6E51"/>
    <w:rsid w:val="000C15ED"/>
    <w:rsid w:val="000C6536"/>
    <w:rsid w:val="000E02AF"/>
    <w:rsid w:val="000E1288"/>
    <w:rsid w:val="000E3D44"/>
    <w:rsid w:val="000F7307"/>
    <w:rsid w:val="00102745"/>
    <w:rsid w:val="001212B4"/>
    <w:rsid w:val="00135C52"/>
    <w:rsid w:val="00172A27"/>
    <w:rsid w:val="00174748"/>
    <w:rsid w:val="001973DC"/>
    <w:rsid w:val="001A1504"/>
    <w:rsid w:val="001C5FB6"/>
    <w:rsid w:val="001C6C26"/>
    <w:rsid w:val="001D28D9"/>
    <w:rsid w:val="0020235C"/>
    <w:rsid w:val="00211706"/>
    <w:rsid w:val="0021436D"/>
    <w:rsid w:val="00224287"/>
    <w:rsid w:val="00225C75"/>
    <w:rsid w:val="00241F01"/>
    <w:rsid w:val="00245159"/>
    <w:rsid w:val="00274096"/>
    <w:rsid w:val="00280EE7"/>
    <w:rsid w:val="00292332"/>
    <w:rsid w:val="002A0563"/>
    <w:rsid w:val="002B2918"/>
    <w:rsid w:val="002C43C8"/>
    <w:rsid w:val="002D4310"/>
    <w:rsid w:val="002E64F8"/>
    <w:rsid w:val="002F2A01"/>
    <w:rsid w:val="002F4671"/>
    <w:rsid w:val="003046C7"/>
    <w:rsid w:val="00315BFD"/>
    <w:rsid w:val="00331053"/>
    <w:rsid w:val="0033165B"/>
    <w:rsid w:val="003317D2"/>
    <w:rsid w:val="00345744"/>
    <w:rsid w:val="00346E16"/>
    <w:rsid w:val="00351A77"/>
    <w:rsid w:val="00355853"/>
    <w:rsid w:val="003673E9"/>
    <w:rsid w:val="00380771"/>
    <w:rsid w:val="00381197"/>
    <w:rsid w:val="003912A4"/>
    <w:rsid w:val="003C537A"/>
    <w:rsid w:val="003C74B0"/>
    <w:rsid w:val="003D7C48"/>
    <w:rsid w:val="003E1C03"/>
    <w:rsid w:val="00412D4A"/>
    <w:rsid w:val="0041593B"/>
    <w:rsid w:val="00430C57"/>
    <w:rsid w:val="004373D7"/>
    <w:rsid w:val="00444BC7"/>
    <w:rsid w:val="004508D2"/>
    <w:rsid w:val="0045596B"/>
    <w:rsid w:val="00485832"/>
    <w:rsid w:val="004A031D"/>
    <w:rsid w:val="004A4FB1"/>
    <w:rsid w:val="004B3BE1"/>
    <w:rsid w:val="004B5B99"/>
    <w:rsid w:val="004C1791"/>
    <w:rsid w:val="004D1CDB"/>
    <w:rsid w:val="004D5E28"/>
    <w:rsid w:val="004E575E"/>
    <w:rsid w:val="004F2315"/>
    <w:rsid w:val="004F5C19"/>
    <w:rsid w:val="005010D7"/>
    <w:rsid w:val="00526877"/>
    <w:rsid w:val="00580E52"/>
    <w:rsid w:val="00581255"/>
    <w:rsid w:val="0058626F"/>
    <w:rsid w:val="005863FC"/>
    <w:rsid w:val="005B15CA"/>
    <w:rsid w:val="005B4E85"/>
    <w:rsid w:val="005C2A7C"/>
    <w:rsid w:val="005D08CB"/>
    <w:rsid w:val="005D3847"/>
    <w:rsid w:val="005E0457"/>
    <w:rsid w:val="00601B98"/>
    <w:rsid w:val="00631F40"/>
    <w:rsid w:val="006411BF"/>
    <w:rsid w:val="00643580"/>
    <w:rsid w:val="00643AE8"/>
    <w:rsid w:val="006452A5"/>
    <w:rsid w:val="00645520"/>
    <w:rsid w:val="00647195"/>
    <w:rsid w:val="006579E0"/>
    <w:rsid w:val="00691520"/>
    <w:rsid w:val="00695636"/>
    <w:rsid w:val="00696159"/>
    <w:rsid w:val="006B295A"/>
    <w:rsid w:val="006C435C"/>
    <w:rsid w:val="006E48DD"/>
    <w:rsid w:val="006E64CD"/>
    <w:rsid w:val="006F6F98"/>
    <w:rsid w:val="00751B4B"/>
    <w:rsid w:val="00751E5D"/>
    <w:rsid w:val="00756625"/>
    <w:rsid w:val="00757C5C"/>
    <w:rsid w:val="00762A8E"/>
    <w:rsid w:val="00777899"/>
    <w:rsid w:val="007A3B66"/>
    <w:rsid w:val="007A69CD"/>
    <w:rsid w:val="007C5165"/>
    <w:rsid w:val="007E49F6"/>
    <w:rsid w:val="007E60DC"/>
    <w:rsid w:val="007F2645"/>
    <w:rsid w:val="0080511D"/>
    <w:rsid w:val="0084607E"/>
    <w:rsid w:val="008502EA"/>
    <w:rsid w:val="00852981"/>
    <w:rsid w:val="00854822"/>
    <w:rsid w:val="00880EA2"/>
    <w:rsid w:val="00892B3D"/>
    <w:rsid w:val="00892E55"/>
    <w:rsid w:val="008967A5"/>
    <w:rsid w:val="008A3773"/>
    <w:rsid w:val="008D042A"/>
    <w:rsid w:val="008D489B"/>
    <w:rsid w:val="008D59C7"/>
    <w:rsid w:val="008E6227"/>
    <w:rsid w:val="00917DA8"/>
    <w:rsid w:val="009216C7"/>
    <w:rsid w:val="0093715D"/>
    <w:rsid w:val="00945A56"/>
    <w:rsid w:val="00945AC2"/>
    <w:rsid w:val="00960EFC"/>
    <w:rsid w:val="00965020"/>
    <w:rsid w:val="009664A8"/>
    <w:rsid w:val="00980766"/>
    <w:rsid w:val="00983910"/>
    <w:rsid w:val="00995DB2"/>
    <w:rsid w:val="009B1FB3"/>
    <w:rsid w:val="009B5178"/>
    <w:rsid w:val="009D69FB"/>
    <w:rsid w:val="00A0076D"/>
    <w:rsid w:val="00A35A6E"/>
    <w:rsid w:val="00A50163"/>
    <w:rsid w:val="00A708ED"/>
    <w:rsid w:val="00A77252"/>
    <w:rsid w:val="00A80DC9"/>
    <w:rsid w:val="00A92DAB"/>
    <w:rsid w:val="00AB1563"/>
    <w:rsid w:val="00AB2D38"/>
    <w:rsid w:val="00AC57BD"/>
    <w:rsid w:val="00AD084B"/>
    <w:rsid w:val="00AD331A"/>
    <w:rsid w:val="00AE045E"/>
    <w:rsid w:val="00AE4CF6"/>
    <w:rsid w:val="00AF0CF8"/>
    <w:rsid w:val="00B16825"/>
    <w:rsid w:val="00B26A5C"/>
    <w:rsid w:val="00B31E4C"/>
    <w:rsid w:val="00B32C06"/>
    <w:rsid w:val="00B53D63"/>
    <w:rsid w:val="00B8044B"/>
    <w:rsid w:val="00B83460"/>
    <w:rsid w:val="00B97A1B"/>
    <w:rsid w:val="00BB19C1"/>
    <w:rsid w:val="00BC0F6C"/>
    <w:rsid w:val="00BD1145"/>
    <w:rsid w:val="00BD53DA"/>
    <w:rsid w:val="00BD69EA"/>
    <w:rsid w:val="00BD707A"/>
    <w:rsid w:val="00BE3EC6"/>
    <w:rsid w:val="00BE4F40"/>
    <w:rsid w:val="00BF7530"/>
    <w:rsid w:val="00C235AC"/>
    <w:rsid w:val="00C23D63"/>
    <w:rsid w:val="00C34276"/>
    <w:rsid w:val="00C62E3C"/>
    <w:rsid w:val="00C70323"/>
    <w:rsid w:val="00C72738"/>
    <w:rsid w:val="00C865D3"/>
    <w:rsid w:val="00CA375C"/>
    <w:rsid w:val="00CE64B3"/>
    <w:rsid w:val="00CE6731"/>
    <w:rsid w:val="00CF2260"/>
    <w:rsid w:val="00CF3A4D"/>
    <w:rsid w:val="00D14F39"/>
    <w:rsid w:val="00D1783B"/>
    <w:rsid w:val="00D20962"/>
    <w:rsid w:val="00D40AC3"/>
    <w:rsid w:val="00D44012"/>
    <w:rsid w:val="00D51875"/>
    <w:rsid w:val="00D61F09"/>
    <w:rsid w:val="00DA34BB"/>
    <w:rsid w:val="00DF0875"/>
    <w:rsid w:val="00DF0975"/>
    <w:rsid w:val="00E226C6"/>
    <w:rsid w:val="00E452BA"/>
    <w:rsid w:val="00E66AD8"/>
    <w:rsid w:val="00EA4360"/>
    <w:rsid w:val="00EC436F"/>
    <w:rsid w:val="00EE0758"/>
    <w:rsid w:val="00EE3D87"/>
    <w:rsid w:val="00F04050"/>
    <w:rsid w:val="00F071B0"/>
    <w:rsid w:val="00F22525"/>
    <w:rsid w:val="00F3184E"/>
    <w:rsid w:val="00F51AF2"/>
    <w:rsid w:val="00F6681F"/>
    <w:rsid w:val="00F70383"/>
    <w:rsid w:val="00F72570"/>
    <w:rsid w:val="00F81243"/>
    <w:rsid w:val="00F812C7"/>
    <w:rsid w:val="00F822DB"/>
    <w:rsid w:val="00FB089D"/>
    <w:rsid w:val="00FC7E5C"/>
    <w:rsid w:val="05B21499"/>
    <w:rsid w:val="069F4D25"/>
    <w:rsid w:val="093F6572"/>
    <w:rsid w:val="1EA44F54"/>
    <w:rsid w:val="24AA6B86"/>
    <w:rsid w:val="24EB6C5A"/>
    <w:rsid w:val="39F11938"/>
    <w:rsid w:val="4E28545C"/>
    <w:rsid w:val="55145A25"/>
    <w:rsid w:val="5D3058E0"/>
    <w:rsid w:val="72AF367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page number"/>
    <w:basedOn w:val="4"/>
    <w:uiPriority w:val="0"/>
  </w:style>
  <w:style w:type="character" w:styleId="7">
    <w:name w:val="Hyperlink"/>
    <w:basedOn w:val="4"/>
    <w:uiPriority w:val="0"/>
    <w:rPr>
      <w:color w:val="0000FF" w:themeColor="hyperlink"/>
      <w:u w:val="single"/>
    </w:rPr>
  </w:style>
  <w:style w:type="character" w:customStyle="1" w:styleId="9">
    <w:name w:val="页眉 Char"/>
    <w:basedOn w:val="4"/>
    <w:link w:val="3"/>
    <w:qFormat/>
    <w:uiPriority w:val="0"/>
    <w:rPr>
      <w:kern w:val="2"/>
      <w:sz w:val="18"/>
      <w:szCs w:val="18"/>
    </w:rPr>
  </w:style>
  <w:style w:type="character" w:customStyle="1" w:styleId="10">
    <w:name w:val="页脚 Char"/>
    <w:basedOn w:val="4"/>
    <w:link w:val="2"/>
    <w:qFormat/>
    <w:uiPriority w:val="0"/>
    <w:rPr>
      <w:kern w:val="2"/>
      <w:sz w:val="18"/>
      <w:szCs w:val="18"/>
    </w:rPr>
  </w:style>
  <w:style w:type="character" w:customStyle="1" w:styleId="11">
    <w:name w:val="apple-converted-space"/>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319</Words>
  <Characters>1822</Characters>
  <Lines>15</Lines>
  <Paragraphs>4</Paragraphs>
  <TotalTime>0</TotalTime>
  <ScaleCrop>false</ScaleCrop>
  <LinksUpToDate>false</LinksUpToDate>
  <CharactersWithSpaces>2137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2017-03-02T06:44:00Z</dcterms:created>
  <dc:creator>Lenovo User</dc:creator>
  <cp:lastModifiedBy>Administrator</cp:lastModifiedBy>
  <cp:lastPrinted>2016-03-15T03:12:00Z</cp:lastPrinted>
  <dcterms:modified xsi:type="dcterms:W3CDTF">2017-03-09T02:19:06Z</dcterms:modified>
  <dc:title>政治与公共管理学院2012年硕士研究生入学考试复试通知 </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